
<file path=[Content_Types].xml><?xml version="1.0" encoding="utf-8"?>
<Types xmlns="http://schemas.openxmlformats.org/package/2006/content-types">
  <Default Extension="rels" ContentType="application/vnd.openxmlformats-package.relationships+xml"/>
  <Default Extension="xml" ContentType="application/xml"/>
  <Override PartName="/docMetadata/LabelInfo.xml" ContentType="application/vnd.ms-office.classificationlabel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5EC03A" w14:textId="77777777" w:rsidR="00087388" w:rsidRPr="000866EF" w:rsidRDefault="00087388" w:rsidP="00087388">
      <w:pPr>
        <w:pStyle w:val="Annexetitre"/>
        <w:spacing w:before="0"/>
      </w:pPr>
      <w:r>
        <w:t xml:space="preserve">XXII PIELIKUMS – Informācijas atklāšana par </w:t>
      </w:r>
      <w:r>
        <w:rPr>
          <w:i/>
        </w:rPr>
        <w:t xml:space="preserve">IRB</w:t>
      </w:r>
      <w:r>
        <w:t xml:space="preserve"> pieejas izmantošanu attiecībā uz kredītrisku (izņemot darījuma partnera kredītrisku)</w:t>
      </w:r>
    </w:p>
    <w:p w14:paraId="672A6659" w14:textId="77777777" w:rsidR="00087388" w:rsidRPr="000866EF" w:rsidRDefault="00087388" w:rsidP="00087388">
      <w:pPr>
        <w:spacing w:after="120"/>
        <w:rPr>
          <w:rFonts w:ascii="Times New Roman" w:hAnsi="Times New Roman" w:cs="Times New Roman"/>
          <w:sz w:val="24"/>
        </w:rPr>
      </w:pPr>
    </w:p>
    <w:p w14:paraId="3451F4FD" w14:textId="77777777" w:rsidR="00087388" w:rsidRPr="00F1728C" w:rsidRDefault="00087388" w:rsidP="00087388">
      <w:pPr>
        <w:spacing w:after="120"/>
        <w:rPr>
          <w:sz w:val="24"/>
          <w:rFonts w:ascii="Times New Roman" w:hAnsi="Times New Roman" w:cs="Times New Roman"/>
        </w:rPr>
      </w:pPr>
      <w:r>
        <w:rPr>
          <w:sz w:val="24"/>
          <w:b/>
          <w:rFonts w:ascii="Times New Roman" w:hAnsi="Times New Roman"/>
        </w:rPr>
        <w:t xml:space="preserve">Tabula EU CRE – Ar </w:t>
      </w:r>
      <w:r>
        <w:rPr>
          <w:sz w:val="24"/>
          <w:b/>
          <w:i/>
          <w:rFonts w:ascii="Times New Roman" w:hAnsi="Times New Roman"/>
        </w:rPr>
        <w:t xml:space="preserve">IRB</w:t>
      </w:r>
      <w:r>
        <w:rPr>
          <w:sz w:val="24"/>
          <w:b/>
          <w:rFonts w:ascii="Times New Roman" w:hAnsi="Times New Roman"/>
        </w:rPr>
        <w:t xml:space="preserve"> pieeju saistītas kvalitatīvas informācijas atklāšanas prasības.</w:t>
      </w:r>
      <w:r>
        <w:rPr>
          <w:sz w:val="24"/>
          <w:b/>
          <w:rFonts w:ascii="Times New Roman" w:hAnsi="Times New Roman"/>
        </w:rPr>
        <w:t xml:space="preserve"> </w:t>
      </w:r>
      <w:r>
        <w:rPr>
          <w:sz w:val="24"/>
          <w:b/>
          <w:rFonts w:ascii="Times New Roman" w:hAnsi="Times New Roman"/>
        </w:rPr>
        <w:t xml:space="preserve">Elastīga tabula</w:t>
      </w:r>
      <w:r>
        <w:rPr>
          <w:sz w:val="24"/>
          <w:rFonts w:ascii="Times New Roman" w:hAnsi="Times New Roman"/>
        </w:rPr>
        <w:t xml:space="preserve">.</w:t>
      </w:r>
    </w:p>
    <w:p w14:paraId="5F7DF826" w14:textId="73107CC6" w:rsidR="00087388" w:rsidRPr="00F1728C" w:rsidRDefault="00087388" w:rsidP="63E31B68">
      <w:pPr>
        <w:pStyle w:val="ListParagraph"/>
        <w:numPr>
          <w:ilvl w:val="0"/>
          <w:numId w:val="2"/>
        </w:numPr>
        <w:spacing w:after="120"/>
        <w:jc w:val="both"/>
        <w:rPr>
          <w:sz w:val="24"/>
          <w:szCs w:val="24"/>
          <w:rFonts w:ascii="Times New Roman" w:hAnsi="Times New Roman"/>
        </w:rPr>
      </w:pPr>
      <w:r>
        <w:rPr>
          <w:sz w:val="24"/>
          <w:rFonts w:ascii="Times New Roman" w:hAnsi="Times New Roman"/>
        </w:rPr>
        <w:t xml:space="preserve">Iestādes atklāj Regulas (ES) 575/2013</w:t>
      </w:r>
      <w:r w:rsidRPr="00F1728C">
        <w:rPr>
          <w:rStyle w:val="FootnoteReference"/>
          <w:rFonts w:ascii="Times New Roman" w:hAnsi="Times New Roman"/>
        </w:rPr>
        <w:footnoteReference w:id="1"/>
      </w:r>
      <w:r>
        <w:rPr>
          <w:sz w:val="24"/>
          <w:rFonts w:ascii="Times New Roman" w:hAnsi="Times New Roman"/>
        </w:rPr>
        <w:t xml:space="preserve"> (“</w:t>
      </w:r>
      <w:r>
        <w:rPr>
          <w:sz w:val="24"/>
          <w:i/>
          <w:rFonts w:ascii="Times New Roman" w:hAnsi="Times New Roman"/>
        </w:rPr>
        <w:t xml:space="preserve">CRR</w:t>
      </w:r>
      <w:r>
        <w:rPr>
          <w:sz w:val="24"/>
          <w:rFonts w:ascii="Times New Roman" w:hAnsi="Times New Roman"/>
        </w:rPr>
        <w:t xml:space="preserve">”) 452. panta a)–f) punktā minēto informāciju, ievērojot turpmāk šajā pielikumā sniegtos norādījumus, lai aizpildītu EBI IT risinājumu XXI pielikumā ietverto tabulu EU CRE.</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1"/>
        <w:gridCol w:w="8253"/>
      </w:tblGrid>
      <w:tr w:rsidR="00087388" w:rsidRPr="00F1728C" w14:paraId="020F0BFA" w14:textId="77777777" w:rsidTr="00725D4D">
        <w:trPr>
          <w:trHeight w:val="420"/>
        </w:trPr>
        <w:tc>
          <w:tcPr>
            <w:tcW w:w="1381" w:type="dxa"/>
            <w:vMerge w:val="restart"/>
            <w:tcBorders>
              <w:top w:val="single" w:sz="4" w:space="0" w:color="auto"/>
              <w:left w:val="single" w:sz="4" w:space="0" w:color="auto"/>
              <w:right w:val="single" w:sz="4" w:space="0" w:color="auto"/>
            </w:tcBorders>
            <w:shd w:val="clear" w:color="auto" w:fill="D9D9D9" w:themeFill="background1" w:themeFillShade="D9"/>
          </w:tcPr>
          <w:p w14:paraId="39377105" w14:textId="77777777" w:rsidR="00087388" w:rsidRPr="00F1728C" w:rsidRDefault="00087388" w:rsidP="00725D4D">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Atsauce uz rindu</w:t>
            </w: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4FA5DD43" w14:textId="77777777" w:rsidR="00087388" w:rsidRPr="00F1728C" w:rsidRDefault="00087388" w:rsidP="00725D4D">
            <w:pPr>
              <w:spacing w:after="120"/>
              <w:rPr>
                <w:b/>
                <w:sz w:val="24"/>
                <w:rFonts w:ascii="Times New Roman" w:hAnsi="Times New Roman" w:cs="Times New Roman"/>
              </w:rPr>
            </w:pPr>
            <w:r>
              <w:rPr>
                <w:b/>
                <w:sz w:val="24"/>
                <w:rFonts w:ascii="Times New Roman" w:hAnsi="Times New Roman"/>
              </w:rPr>
              <w:t xml:space="preserve">Atsauces uz tiesību aktiem un norādījumi</w:t>
            </w:r>
          </w:p>
        </w:tc>
      </w:tr>
      <w:tr w:rsidR="00087388" w:rsidRPr="00F1728C" w14:paraId="7BF504D8" w14:textId="77777777" w:rsidTr="00725D4D">
        <w:trPr>
          <w:trHeight w:val="420"/>
        </w:trPr>
        <w:tc>
          <w:tcPr>
            <w:tcW w:w="1381" w:type="dxa"/>
            <w:vMerge/>
            <w:tcBorders>
              <w:left w:val="single" w:sz="4" w:space="0" w:color="auto"/>
              <w:right w:val="single" w:sz="4" w:space="0" w:color="auto"/>
            </w:tcBorders>
            <w:shd w:val="clear" w:color="auto" w:fill="D9D9D9" w:themeFill="background1" w:themeFillShade="D9"/>
          </w:tcPr>
          <w:p w14:paraId="0A37501D"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08D75F21" w14:textId="77777777" w:rsidR="00087388" w:rsidRPr="00F1728C" w:rsidRDefault="00087388" w:rsidP="00725D4D">
            <w:pPr>
              <w:spacing w:after="120"/>
              <w:rPr>
                <w:b/>
                <w:sz w:val="24"/>
                <w:rFonts w:ascii="Times New Roman" w:hAnsi="Times New Roman" w:cs="Times New Roman"/>
              </w:rPr>
            </w:pPr>
            <w:r>
              <w:rPr>
                <w:b/>
                <w:sz w:val="24"/>
                <w:rFonts w:ascii="Times New Roman" w:hAnsi="Times New Roman"/>
              </w:rPr>
              <w:t xml:space="preserve">Paskaidrojums</w:t>
            </w:r>
          </w:p>
        </w:tc>
      </w:tr>
    </w:tbl>
    <w:tbl>
      <w:tblPr>
        <w:tblStyle w:val="TableGrid"/>
        <w:tblW w:w="9629"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63"/>
        <w:gridCol w:w="1179"/>
        <w:gridCol w:w="7087"/>
      </w:tblGrid>
      <w:tr w:rsidR="00087388" w:rsidRPr="00F1728C" w14:paraId="164B5286" w14:textId="77777777" w:rsidTr="63E31B68">
        <w:trPr>
          <w:cnfStyle w:val="100000000000" w:firstRow="1" w:lastRow="0" w:firstColumn="0" w:lastColumn="0" w:oddVBand="0" w:evenVBand="0" w:oddHBand="0" w:evenHBand="0" w:firstRowFirstColumn="0" w:firstRowLastColumn="0" w:lastRowFirstColumn="0" w:lastRowLastColumn="0"/>
          <w:trHeight w:val="843"/>
        </w:trPr>
        <w:tc>
          <w:tcPr>
            <w:tcW w:w="136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vAlign w:val="top"/>
          </w:tcPr>
          <w:p w14:paraId="5CBE7772" w14:textId="77777777" w:rsidR="00087388" w:rsidRPr="00F1728C" w:rsidRDefault="00087388" w:rsidP="00725D4D">
            <w:pPr>
              <w:spacing w:after="120"/>
              <w:jc w:val="both"/>
              <w:rPr>
                <w:sz w:val="24"/>
                <w:rFonts w:ascii="Times New Roman" w:hAnsi="Times New Roman" w:cs="Times New Roman"/>
              </w:rPr>
            </w:pPr>
            <w:r>
              <w:rPr>
                <w:sz w:val="24"/>
                <w:rFonts w:ascii="Times New Roman" w:hAnsi="Times New Roman"/>
              </w:rPr>
              <w:t xml:space="preserve">a)</w:t>
            </w:r>
          </w:p>
        </w:tc>
        <w:tc>
          <w:tcPr>
            <w:tcW w:w="1179"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7162A40D" w14:textId="05BD278E" w:rsidR="00087388" w:rsidRPr="00F1728C" w:rsidRDefault="00087388" w:rsidP="63E31B68">
            <w:pPr>
              <w:spacing w:after="120"/>
              <w:jc w:val="both"/>
              <w:rPr>
                <w:sz w:val="24"/>
                <w:rFonts w:ascii="Times New Roman" w:hAnsi="Times New Roman" w:cs="Times New Roman"/>
              </w:rPr>
            </w:pPr>
            <w:r>
              <w:rPr>
                <w:sz w:val="24"/>
                <w:rFonts w:ascii="Times New Roman" w:hAnsi="Times New Roman"/>
              </w:rPr>
              <w:t xml:space="preserve"> </w:t>
            </w:r>
            <w:r>
              <w:rPr>
                <w:sz w:val="24"/>
                <w:i/>
                <w:rFonts w:ascii="Times New Roman" w:hAnsi="Times New Roman"/>
              </w:rPr>
              <w:t xml:space="preserve">CRR</w:t>
            </w:r>
            <w:r>
              <w:rPr>
                <w:sz w:val="24"/>
                <w:rFonts w:ascii="Times New Roman" w:hAnsi="Times New Roman"/>
              </w:rPr>
              <w:t xml:space="preserve"> 452. panta a) punkts</w:t>
            </w:r>
          </w:p>
        </w:tc>
        <w:tc>
          <w:tcPr>
            <w:tcW w:w="7087"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4B66B306" w14:textId="13544A0E" w:rsidR="00087388" w:rsidRPr="000A6489" w:rsidRDefault="00087388" w:rsidP="11F50173">
            <w:pPr>
              <w:spacing w:after="120"/>
              <w:jc w:val="both"/>
              <w:rPr>
                <w:sz w:val="24"/>
                <w:rFonts w:ascii="Times New Roman" w:hAnsi="Times New Roman" w:cs="Times New Roman"/>
              </w:rPr>
            </w:pPr>
            <w:r>
              <w:rPr>
                <w:sz w:val="24"/>
                <w:rFonts w:ascii="Times New Roman" w:hAnsi="Times New Roman"/>
              </w:rPr>
              <w:t xml:space="preserve">Atklājot informāciju par kompetentās iestādes sniegto atļauju pieejas izmantošanai vai apstiprinātajiem pakāpeniskas pārejas noteikumiem saskaņā ar </w:t>
            </w:r>
            <w:r>
              <w:rPr>
                <w:sz w:val="24"/>
                <w:color w:val="000000" w:themeColor="text1"/>
                <w:rFonts w:ascii="Times New Roman" w:hAnsi="Times New Roman"/>
              </w:rPr>
              <w:t xml:space="preserve">Regulas (ES) 575/2013</w:t>
            </w:r>
            <w:r>
              <w:rPr>
                <w:sz w:val="24"/>
                <w:rFonts w:ascii="Times New Roman" w:hAnsi="Times New Roman"/>
              </w:rPr>
              <w:t xml:space="preserve"> 452. panta a) punktu, iestādes apraksta to atbilstoši </w:t>
            </w:r>
            <w:r>
              <w:rPr>
                <w:sz w:val="24"/>
                <w:i/>
                <w:rFonts w:ascii="Times New Roman" w:hAnsi="Times New Roman"/>
              </w:rPr>
              <w:t xml:space="preserve">IRB</w:t>
            </w:r>
            <w:r>
              <w:rPr>
                <w:sz w:val="24"/>
                <w:rFonts w:ascii="Times New Roman" w:hAnsi="Times New Roman"/>
              </w:rPr>
              <w:t xml:space="preserve"> pieejai izmantoto reitingu sistēmu galvenās iezīmes, par kurām kompetentā iestāde piešķīrusi atļauju, un riska darījumu veidus, uz kuriem attiecas šīs reitingu sistēmas.</w:t>
            </w:r>
            <w:r>
              <w:rPr>
                <w:sz w:val="24"/>
                <w:rFonts w:ascii="Times New Roman" w:hAnsi="Times New Roman"/>
              </w:rPr>
              <w:t xml:space="preserve"> </w:t>
            </w:r>
            <w:r>
              <w:rPr>
                <w:sz w:val="24"/>
                <w:rFonts w:ascii="Times New Roman" w:hAnsi="Times New Roman"/>
              </w:rPr>
              <w:t xml:space="preserve">Iestādes arī apraksta riska darījumu veidus, par kuriem tām ir atļauja pastāvīgi, daļēji izmantot standartizēto pieeju saskaņā ar </w:t>
            </w:r>
            <w:r>
              <w:rPr>
                <w:sz w:val="24"/>
                <w:color w:val="000000" w:themeColor="text1"/>
                <w:rFonts w:ascii="Times New Roman" w:hAnsi="Times New Roman"/>
              </w:rPr>
              <w:t xml:space="preserve">Regulas (ES) 575/2013</w:t>
            </w:r>
            <w:r>
              <w:rPr>
                <w:sz w:val="24"/>
                <w:rFonts w:ascii="Times New Roman" w:hAnsi="Times New Roman"/>
              </w:rPr>
              <w:t xml:space="preserve"> 150. pantu un kuri ir iekļauti to </w:t>
            </w:r>
            <w:r>
              <w:rPr>
                <w:sz w:val="24"/>
                <w:i/>
                <w:rFonts w:ascii="Times New Roman" w:hAnsi="Times New Roman"/>
              </w:rPr>
              <w:t xml:space="preserve">IRB</w:t>
            </w:r>
            <w:r>
              <w:rPr>
                <w:sz w:val="24"/>
                <w:rFonts w:ascii="Times New Roman" w:hAnsi="Times New Roman"/>
              </w:rPr>
              <w:t xml:space="preserve"> izvēršanas plānos saskaņā ar </w:t>
            </w:r>
            <w:r>
              <w:rPr>
                <w:sz w:val="24"/>
                <w:color w:val="000000" w:themeColor="text1"/>
                <w:rFonts w:ascii="Times New Roman" w:hAnsi="Times New Roman"/>
              </w:rPr>
              <w:t xml:space="preserve">Regulas (ES) 575/2013</w:t>
            </w:r>
            <w:r>
              <w:rPr>
                <w:sz w:val="24"/>
                <w:rFonts w:ascii="Times New Roman" w:hAnsi="Times New Roman"/>
              </w:rPr>
              <w:t xml:space="preserve"> 148. pantu.</w:t>
            </w:r>
            <w:r>
              <w:rPr>
                <w:sz w:val="24"/>
                <w:rFonts w:ascii="Times New Roman" w:hAnsi="Times New Roman"/>
              </w:rPr>
              <w:t xml:space="preserve"> </w:t>
            </w:r>
            <w:r>
              <w:rPr>
                <w:sz w:val="24"/>
                <w:rFonts w:ascii="Times New Roman" w:hAnsi="Times New Roman"/>
              </w:rPr>
              <w:t xml:space="preserve">Aprakstu sniedz grupu līmenī.</w:t>
            </w:r>
          </w:p>
        </w:tc>
      </w:tr>
      <w:tr w:rsidR="00087388" w:rsidRPr="00F1728C" w14:paraId="51935B2C" w14:textId="77777777" w:rsidTr="63E31B68">
        <w:trPr>
          <w:trHeight w:val="557"/>
        </w:trPr>
        <w:tc>
          <w:tcPr>
            <w:tcW w:w="1363" w:type="dxa"/>
            <w:vAlign w:val="top"/>
          </w:tcPr>
          <w:p w14:paraId="3715BE68" w14:textId="77777777" w:rsidR="00087388" w:rsidRPr="00F1728C" w:rsidRDefault="00087388" w:rsidP="00725D4D">
            <w:pPr>
              <w:spacing w:after="120"/>
              <w:jc w:val="both"/>
              <w:rPr>
                <w:sz w:val="24"/>
                <w:rFonts w:ascii="Times New Roman" w:hAnsi="Times New Roman" w:cs="Times New Roman"/>
              </w:rPr>
            </w:pPr>
            <w:r>
              <w:rPr>
                <w:sz w:val="24"/>
                <w:rFonts w:ascii="Times New Roman" w:hAnsi="Times New Roman"/>
              </w:rPr>
              <w:t xml:space="preserve">b)</w:t>
            </w:r>
          </w:p>
        </w:tc>
        <w:tc>
          <w:tcPr>
            <w:tcW w:w="1179" w:type="dxa"/>
          </w:tcPr>
          <w:p w14:paraId="33991CEF" w14:textId="024AE8C4" w:rsidR="00087388" w:rsidRPr="000A6489" w:rsidRDefault="00087388" w:rsidP="63E31B68">
            <w:pPr>
              <w:spacing w:after="120"/>
              <w:jc w:val="both"/>
              <w:rPr>
                <w:sz w:val="24"/>
                <w:rFonts w:ascii="Times New Roman" w:hAnsi="Times New Roman" w:cs="Times New Roman"/>
              </w:rPr>
            </w:pPr>
            <w:r>
              <w:rPr>
                <w:sz w:val="24"/>
                <w:rFonts w:ascii="Times New Roman" w:hAnsi="Times New Roman"/>
              </w:rPr>
              <w:t xml:space="preserve"> </w:t>
            </w:r>
            <w:r>
              <w:rPr>
                <w:sz w:val="24"/>
                <w:i/>
                <w:rFonts w:ascii="Times New Roman" w:hAnsi="Times New Roman"/>
              </w:rPr>
              <w:t xml:space="preserve">CRR</w:t>
            </w:r>
            <w:r>
              <w:rPr>
                <w:sz w:val="24"/>
                <w:rFonts w:ascii="Times New Roman" w:hAnsi="Times New Roman"/>
              </w:rPr>
              <w:t xml:space="preserve"> 452. panta c) punkta i)–iv) apakšpunkts</w:t>
            </w:r>
          </w:p>
        </w:tc>
        <w:tc>
          <w:tcPr>
            <w:tcW w:w="7087" w:type="dxa"/>
          </w:tcPr>
          <w:p w14:paraId="10953D2B" w14:textId="77777777" w:rsidR="00087388" w:rsidRPr="00F1728C" w:rsidRDefault="00087388" w:rsidP="00725D4D">
            <w:pPr>
              <w:spacing w:after="120"/>
              <w:jc w:val="both"/>
              <w:rPr>
                <w:sz w:val="24"/>
                <w:rFonts w:ascii="Times New Roman" w:hAnsi="Times New Roman" w:cs="Times New Roman"/>
              </w:rPr>
            </w:pPr>
            <w:r>
              <w:rPr>
                <w:sz w:val="24"/>
                <w:rFonts w:ascii="Times New Roman" w:hAnsi="Times New Roman"/>
              </w:rPr>
              <w:t xml:space="preserve">Aprakstā par reitingu sistēmu kontroles mehānismiem ietver riska parametru aplēsi, tajā skaitā iekšējo modeļu izstrādi un kalibrēšanu, kā arī kontroles pasākumus modeļu un izmaiņu piemērošanā reitingu sistēmām.</w:t>
            </w:r>
            <w:r>
              <w:rPr>
                <w:sz w:val="24"/>
                <w:rFonts w:ascii="Times New Roman" w:hAnsi="Times New Roman"/>
              </w:rPr>
              <w:t xml:space="preserve"> </w:t>
            </w:r>
          </w:p>
          <w:p w14:paraId="4D8089BD" w14:textId="323FBEA1" w:rsidR="00087388" w:rsidRPr="00F1728C" w:rsidRDefault="00087388" w:rsidP="11F50173">
            <w:pPr>
              <w:spacing w:after="120"/>
              <w:jc w:val="both"/>
              <w:rPr>
                <w:sz w:val="24"/>
                <w:rFonts w:ascii="Times New Roman" w:hAnsi="Times New Roman" w:cs="Times New Roman"/>
              </w:rPr>
            </w:pPr>
            <w:r>
              <w:rPr>
                <w:sz w:val="24"/>
                <w:rFonts w:ascii="Times New Roman" w:hAnsi="Times New Roman"/>
              </w:rPr>
              <w:t xml:space="preserve">Saskaņā ar </w:t>
            </w:r>
            <w:r>
              <w:rPr>
                <w:sz w:val="24"/>
                <w:color w:val="000000" w:themeColor="text1"/>
                <w:rFonts w:ascii="Times New Roman" w:hAnsi="Times New Roman"/>
              </w:rPr>
              <w:t xml:space="preserve">Regulas (ES) 575/2013</w:t>
            </w:r>
            <w:r>
              <w:rPr>
                <w:sz w:val="24"/>
                <w:rFonts w:ascii="Times New Roman" w:hAnsi="Times New Roman"/>
              </w:rPr>
              <w:t xml:space="preserve"> 452. panta c) punkta i)–iv) apakšpunktu iepriekš minēto funkciju lomas aprakstā arī norāda:</w:t>
            </w:r>
          </w:p>
          <w:p w14:paraId="7F9D3557" w14:textId="77777777" w:rsidR="00087388" w:rsidRPr="00F1728C" w:rsidRDefault="00087388" w:rsidP="00087388">
            <w:pPr>
              <w:pStyle w:val="ListParagraph"/>
              <w:numPr>
                <w:ilvl w:val="0"/>
                <w:numId w:val="1"/>
              </w:numPr>
              <w:spacing w:after="120"/>
              <w:jc w:val="both"/>
              <w:rPr>
                <w:sz w:val="24"/>
                <w:szCs w:val="24"/>
                <w:rFonts w:ascii="Times New Roman" w:hAnsi="Times New Roman"/>
              </w:rPr>
            </w:pPr>
            <w:r>
              <w:rPr>
                <w:sz w:val="24"/>
                <w:rFonts w:ascii="Times New Roman" w:hAnsi="Times New Roman"/>
              </w:rPr>
              <w:t xml:space="preserve">saikni starp riska pārvaldības funkciju un iekšējās revīzijas funkciju;</w:t>
            </w:r>
            <w:r>
              <w:rPr>
                <w:sz w:val="24"/>
                <w:rFonts w:ascii="Times New Roman" w:hAnsi="Times New Roman"/>
              </w:rPr>
              <w:t xml:space="preserve"> </w:t>
            </w:r>
          </w:p>
          <w:p w14:paraId="24172694" w14:textId="2B769854" w:rsidR="00087388" w:rsidRPr="000A6489" w:rsidRDefault="00087388" w:rsidP="00087388">
            <w:pPr>
              <w:pStyle w:val="ListParagraph"/>
              <w:numPr>
                <w:ilvl w:val="0"/>
                <w:numId w:val="1"/>
              </w:numPr>
              <w:spacing w:after="120"/>
              <w:jc w:val="both"/>
              <w:rPr>
                <w:sz w:val="24"/>
                <w:szCs w:val="24"/>
                <w:rFonts w:ascii="Times New Roman" w:hAnsi="Times New Roman"/>
              </w:rPr>
            </w:pPr>
            <w:r>
              <w:rPr>
                <w:sz w:val="24"/>
                <w:rFonts w:ascii="Times New Roman" w:hAnsi="Times New Roman"/>
              </w:rPr>
              <w:t xml:space="preserve">reitingu sistēmu pārskatīšanas procesus un metodes, arī aplēšu regulāru pārskatīšanu saskaņā ar Regulas (ES) 575/2013 179. panta 1. punkta c) apakšpunktu un validācijām;</w:t>
            </w:r>
            <w:r>
              <w:rPr>
                <w:sz w:val="24"/>
                <w:rFonts w:ascii="Times New Roman" w:hAnsi="Times New Roman"/>
              </w:rPr>
              <w:t xml:space="preserve"> </w:t>
            </w:r>
          </w:p>
          <w:p w14:paraId="34B49B0F" w14:textId="77777777" w:rsidR="00087388" w:rsidRPr="000A6489" w:rsidRDefault="00087388" w:rsidP="00087388">
            <w:pPr>
              <w:pStyle w:val="ListParagraph"/>
              <w:numPr>
                <w:ilvl w:val="0"/>
                <w:numId w:val="1"/>
              </w:numPr>
              <w:spacing w:after="120"/>
              <w:jc w:val="both"/>
              <w:rPr>
                <w:sz w:val="24"/>
                <w:szCs w:val="24"/>
                <w:rFonts w:ascii="Times New Roman" w:hAnsi="Times New Roman"/>
              </w:rPr>
            </w:pPr>
            <w:r>
              <w:rPr>
                <w:sz w:val="24"/>
                <w:rFonts w:ascii="Times New Roman" w:hAnsi="Times New Roman"/>
              </w:rPr>
              <w:t xml:space="preserve">procedūras un organizatorisko kārtību, kas nodrošina, ka funkcija, kura atbild par modeļu pārskatīšanu (validēšanas funkciju), ir neatkarīga no funkcijām, kuras atbild par modeļu izstrādi un kalibrēšanu;</w:t>
            </w:r>
            <w:r>
              <w:rPr>
                <w:sz w:val="24"/>
                <w:rFonts w:ascii="Times New Roman" w:hAnsi="Times New Roman"/>
              </w:rPr>
              <w:t xml:space="preserve"> </w:t>
            </w:r>
          </w:p>
          <w:p w14:paraId="74A45581" w14:textId="77777777" w:rsidR="00087388" w:rsidRPr="000A6489" w:rsidRDefault="00087388" w:rsidP="00087388">
            <w:pPr>
              <w:pStyle w:val="ListParagraph"/>
              <w:numPr>
                <w:ilvl w:val="0"/>
                <w:numId w:val="1"/>
              </w:numPr>
              <w:spacing w:after="120"/>
              <w:jc w:val="both"/>
              <w:rPr>
                <w:sz w:val="24"/>
                <w:szCs w:val="24"/>
                <w:rFonts w:ascii="Times New Roman" w:hAnsi="Times New Roman"/>
              </w:rPr>
            </w:pPr>
            <w:r>
              <w:rPr>
                <w:sz w:val="24"/>
                <w:rFonts w:ascii="Times New Roman" w:hAnsi="Times New Roman"/>
              </w:rPr>
              <w:t xml:space="preserve">procedūru, ar ko nodrošina to funkciju pārskatatbildību, kuras atbild par modeļu izstrādi un pārskatīšanu.</w:t>
            </w:r>
          </w:p>
        </w:tc>
      </w:tr>
      <w:tr w:rsidR="00344A92" w:rsidRPr="00344A92" w:rsidDel="00915DC9" w14:paraId="4E1160C1" w14:textId="77777777" w:rsidTr="63E31B68">
        <w:trPr>
          <w:trHeight w:val="973"/>
        </w:trPr>
        <w:tc>
          <w:tcPr>
            <w:tcW w:w="1363" w:type="dxa"/>
            <w:vAlign w:val="top"/>
          </w:tcPr>
          <w:p w14:paraId="0F95AF50" w14:textId="77777777" w:rsidR="00087388" w:rsidRPr="00344A92" w:rsidRDefault="00087388" w:rsidP="00725D4D">
            <w:pPr>
              <w:spacing w:after="120"/>
              <w:jc w:val="both"/>
              <w:rPr>
                <w:sz w:val="24"/>
                <w:rFonts w:ascii="Times New Roman" w:hAnsi="Times New Roman" w:cs="Times New Roman"/>
              </w:rPr>
            </w:pPr>
            <w:r>
              <w:rPr>
                <w:sz w:val="24"/>
                <w:rFonts w:ascii="Times New Roman" w:hAnsi="Times New Roman"/>
              </w:rPr>
              <w:t xml:space="preserve">c)</w:t>
            </w:r>
          </w:p>
        </w:tc>
        <w:tc>
          <w:tcPr>
            <w:tcW w:w="1179" w:type="dxa"/>
          </w:tcPr>
          <w:p w14:paraId="4952FE1C" w14:textId="08E35EDB" w:rsidR="00087388" w:rsidRPr="000A6489" w:rsidRDefault="00087388" w:rsidP="63E31B68">
            <w:pPr>
              <w:spacing w:after="120"/>
              <w:jc w:val="both"/>
              <w:rPr>
                <w:sz w:val="24"/>
                <w:rFonts w:ascii="Times New Roman" w:hAnsi="Times New Roman" w:cs="Times New Roman"/>
              </w:rPr>
            </w:pPr>
            <w:r>
              <w:rPr>
                <w:sz w:val="24"/>
                <w:rFonts w:ascii="Times New Roman" w:hAnsi="Times New Roman"/>
              </w:rPr>
              <w:t xml:space="preserve"> </w:t>
            </w:r>
            <w:r>
              <w:rPr>
                <w:sz w:val="24"/>
                <w:i/>
                <w:rFonts w:ascii="Times New Roman" w:hAnsi="Times New Roman"/>
              </w:rPr>
              <w:t xml:space="preserve">CRR</w:t>
            </w:r>
            <w:r>
              <w:rPr>
                <w:sz w:val="24"/>
                <w:rFonts w:ascii="Times New Roman" w:hAnsi="Times New Roman"/>
              </w:rPr>
              <w:t xml:space="preserve"> 452. panta d) punkts</w:t>
            </w:r>
          </w:p>
        </w:tc>
        <w:tc>
          <w:tcPr>
            <w:tcW w:w="7087" w:type="dxa"/>
          </w:tcPr>
          <w:p w14:paraId="5055C14F" w14:textId="77777777" w:rsidR="00087388" w:rsidRPr="000A6489" w:rsidDel="00915DC9" w:rsidRDefault="00087388" w:rsidP="00725D4D">
            <w:pPr>
              <w:spacing w:after="120"/>
              <w:jc w:val="both"/>
              <w:rPr>
                <w:sz w:val="24"/>
                <w:rFonts w:ascii="Times New Roman" w:hAnsi="Times New Roman" w:cs="Times New Roman"/>
              </w:rPr>
            </w:pPr>
            <w:r>
              <w:rPr>
                <w:sz w:val="24"/>
                <w:rFonts w:ascii="Times New Roman" w:hAnsi="Times New Roman"/>
              </w:rPr>
              <w:t xml:space="preserve">Iestādes norāda to funkciju lomu, kuras iesaistītas modeļu izstrādē, kalibrēšanā, apstiprināšanā un turpmāku izmaiņu ieviešanā reitingu sistēmās.</w:t>
            </w:r>
          </w:p>
        </w:tc>
      </w:tr>
      <w:tr w:rsidR="00344A92" w:rsidRPr="00344A92" w14:paraId="570A3446" w14:textId="77777777" w:rsidTr="63E31B68">
        <w:trPr>
          <w:trHeight w:val="1265"/>
        </w:trPr>
        <w:tc>
          <w:tcPr>
            <w:tcW w:w="1363" w:type="dxa"/>
            <w:vAlign w:val="top"/>
          </w:tcPr>
          <w:p w14:paraId="6543C3DB" w14:textId="77777777" w:rsidR="00087388" w:rsidRPr="00344A92" w:rsidRDefault="00087388" w:rsidP="00725D4D">
            <w:pPr>
              <w:spacing w:after="120"/>
              <w:jc w:val="both"/>
              <w:rPr>
                <w:sz w:val="24"/>
                <w:rFonts w:ascii="Times New Roman" w:hAnsi="Times New Roman" w:cs="Times New Roman"/>
              </w:rPr>
            </w:pPr>
            <w:r>
              <w:rPr>
                <w:sz w:val="24"/>
                <w:rFonts w:ascii="Times New Roman" w:hAnsi="Times New Roman"/>
              </w:rPr>
              <w:t xml:space="preserve">d)</w:t>
            </w:r>
          </w:p>
        </w:tc>
        <w:tc>
          <w:tcPr>
            <w:tcW w:w="1179" w:type="dxa"/>
          </w:tcPr>
          <w:p w14:paraId="21D15FC9" w14:textId="5BE178BF" w:rsidR="00087388" w:rsidRPr="000A6489" w:rsidRDefault="00087388" w:rsidP="63E31B68">
            <w:pPr>
              <w:spacing w:after="120"/>
              <w:jc w:val="both"/>
              <w:rPr>
                <w:sz w:val="24"/>
                <w:rFonts w:ascii="Times New Roman" w:eastAsia="Times New Roman" w:hAnsi="Times New Roman" w:cs="Times New Roman"/>
              </w:rPr>
            </w:pPr>
            <w:r>
              <w:rPr>
                <w:sz w:val="24"/>
                <w:i/>
                <w:rFonts w:ascii="Times New Roman" w:hAnsi="Times New Roman"/>
              </w:rPr>
              <w:t xml:space="preserve">CRR</w:t>
            </w:r>
            <w:r>
              <w:rPr>
                <w:sz w:val="24"/>
                <w:rFonts w:ascii="Times New Roman" w:hAnsi="Times New Roman"/>
              </w:rPr>
              <w:t xml:space="preserve"> 452. panta e) punkts</w:t>
            </w:r>
          </w:p>
        </w:tc>
        <w:tc>
          <w:tcPr>
            <w:tcW w:w="7087" w:type="dxa"/>
          </w:tcPr>
          <w:p w14:paraId="08F33471" w14:textId="288E1C76" w:rsidR="00087388" w:rsidRPr="000A6489" w:rsidRDefault="00087388" w:rsidP="11F50173">
            <w:pPr>
              <w:spacing w:after="120"/>
              <w:jc w:val="both"/>
              <w:rPr>
                <w:sz w:val="24"/>
                <w:rFonts w:ascii="Times New Roman" w:hAnsi="Times New Roman" w:cs="Times New Roman"/>
              </w:rPr>
            </w:pPr>
            <w:r>
              <w:rPr>
                <w:sz w:val="24"/>
                <w:rFonts w:ascii="Times New Roman" w:hAnsi="Times New Roman"/>
              </w:rPr>
              <w:t xml:space="preserve">Iestādes atklāj to vadības ziņojumu, kas saistīti ar Regulas (ES) 575/2013 189. pantā minētajiem </w:t>
            </w:r>
            <w:r>
              <w:rPr>
                <w:sz w:val="24"/>
                <w:i/>
                <w:rFonts w:ascii="Times New Roman" w:hAnsi="Times New Roman"/>
              </w:rPr>
              <w:t xml:space="preserve">IRB</w:t>
            </w:r>
            <w:r>
              <w:rPr>
                <w:sz w:val="24"/>
                <w:rFonts w:ascii="Times New Roman" w:hAnsi="Times New Roman"/>
              </w:rPr>
              <w:t xml:space="preserve"> modeļiem, tvērumu un galveno saturu, kā arī šādu ziņojumu adresātus un sniegšanas biežumu.</w:t>
            </w:r>
            <w:r>
              <w:rPr>
                <w:sz w:val="24"/>
                <w:rFonts w:ascii="Times New Roman" w:hAnsi="Times New Roman"/>
              </w:rPr>
              <w:t xml:space="preserve"> </w:t>
            </w:r>
          </w:p>
        </w:tc>
      </w:tr>
      <w:tr w:rsidR="00087388" w:rsidRPr="00F1728C" w14:paraId="69AD8BED" w14:textId="77777777" w:rsidTr="63E31B68">
        <w:trPr>
          <w:trHeight w:val="1405"/>
        </w:trPr>
        <w:tc>
          <w:tcPr>
            <w:tcW w:w="1363" w:type="dxa"/>
            <w:vAlign w:val="top"/>
          </w:tcPr>
          <w:p w14:paraId="35EE8C6D" w14:textId="77777777" w:rsidR="00087388" w:rsidRPr="00F1728C" w:rsidRDefault="00087388" w:rsidP="00725D4D">
            <w:pPr>
              <w:spacing w:after="120"/>
              <w:jc w:val="both"/>
              <w:rPr>
                <w:sz w:val="24"/>
                <w:rFonts w:ascii="Times New Roman" w:hAnsi="Times New Roman" w:cs="Times New Roman"/>
              </w:rPr>
            </w:pPr>
            <w:r>
              <w:rPr>
                <w:sz w:val="24"/>
                <w:rFonts w:ascii="Times New Roman" w:hAnsi="Times New Roman"/>
              </w:rPr>
              <w:t xml:space="preserve">e)</w:t>
            </w:r>
          </w:p>
        </w:tc>
        <w:tc>
          <w:tcPr>
            <w:tcW w:w="1179" w:type="dxa"/>
          </w:tcPr>
          <w:p w14:paraId="5E37D7DA" w14:textId="323FF31B" w:rsidR="00087388" w:rsidRPr="000A6489" w:rsidRDefault="00087388" w:rsidP="63E31B68">
            <w:pPr>
              <w:spacing w:after="120"/>
              <w:jc w:val="both"/>
              <w:rPr>
                <w:sz w:val="24"/>
                <w:rFonts w:ascii="Times New Roman" w:hAnsi="Times New Roman" w:cs="Times New Roman"/>
              </w:rPr>
            </w:pPr>
            <w:r>
              <w:rPr>
                <w:sz w:val="24"/>
                <w:i/>
                <w:rFonts w:ascii="Times New Roman" w:hAnsi="Times New Roman"/>
              </w:rPr>
              <w:t xml:space="preserve">CRR</w:t>
            </w:r>
            <w:r>
              <w:rPr>
                <w:sz w:val="24"/>
                <w:rFonts w:ascii="Times New Roman" w:hAnsi="Times New Roman"/>
              </w:rPr>
              <w:t xml:space="preserve"> 452. panta f) punkts</w:t>
            </w:r>
          </w:p>
        </w:tc>
        <w:tc>
          <w:tcPr>
            <w:tcW w:w="7087" w:type="dxa"/>
          </w:tcPr>
          <w:p w14:paraId="5741F868" w14:textId="77777777" w:rsidR="00087388" w:rsidRPr="000A6489" w:rsidRDefault="00087388" w:rsidP="00725D4D">
            <w:pPr>
              <w:spacing w:after="120"/>
              <w:jc w:val="both"/>
              <w:rPr>
                <w:sz w:val="24"/>
                <w:rFonts w:ascii="Times New Roman" w:hAnsi="Times New Roman" w:cs="Times New Roman"/>
              </w:rPr>
            </w:pPr>
            <w:r>
              <w:rPr>
                <w:sz w:val="24"/>
                <w:rFonts w:ascii="Times New Roman" w:hAnsi="Times New Roman"/>
              </w:rPr>
              <w:t xml:space="preserve">Atklājot informāciju par iekšējo reitingu sistēmām riska darījumu kategoriju dalījumā, norāda to galveno modeļu skaitu, kurus izmanto katrā riska darījumu kategorijā attiecībā uz dažādiem riska darījumu veidiem, sniedzot īsu aprakstu par galvenajām atšķirībām starp vienas riska darījumu kategorijas modeļiem.</w:t>
            </w:r>
            <w:r>
              <w:rPr>
                <w:sz w:val="24"/>
                <w:rFonts w:ascii="Times New Roman" w:hAnsi="Times New Roman"/>
              </w:rPr>
              <w:t xml:space="preserve"> </w:t>
            </w:r>
            <w:r>
              <w:rPr>
                <w:sz w:val="24"/>
                <w:rFonts w:ascii="Times New Roman" w:hAnsi="Times New Roman"/>
              </w:rPr>
              <w:t xml:space="preserve">Iekļauj arī aprakstu par galveno apstiprināto modeļu galvenajām iezīmēm, konkrēti par:</w:t>
            </w:r>
            <w:r>
              <w:rPr>
                <w:sz w:val="24"/>
                <w:rFonts w:ascii="Times New Roman" w:hAnsi="Times New Roman"/>
              </w:rPr>
              <w:t xml:space="preserve"> </w:t>
            </w:r>
          </w:p>
          <w:p w14:paraId="4406B502" w14:textId="77777777" w:rsidR="00087388" w:rsidRPr="000A6489" w:rsidRDefault="00087388" w:rsidP="00725D4D">
            <w:pPr>
              <w:spacing w:after="120"/>
              <w:jc w:val="both"/>
              <w:rPr>
                <w:sz w:val="24"/>
                <w:rFonts w:ascii="Times New Roman" w:hAnsi="Times New Roman" w:cs="Times New Roman"/>
              </w:rPr>
            </w:pPr>
            <w:r>
              <w:rPr>
                <w:sz w:val="24"/>
                <w:rFonts w:ascii="Times New Roman" w:hAnsi="Times New Roman"/>
              </w:rPr>
              <w:t xml:space="preserve">i) saistību nepildīšanas varbūtības (</w:t>
            </w:r>
            <w:r>
              <w:rPr>
                <w:sz w:val="24"/>
                <w:i/>
                <w:rFonts w:ascii="Times New Roman" w:hAnsi="Times New Roman"/>
              </w:rPr>
              <w:t xml:space="preserve">PD</w:t>
            </w:r>
            <w:r>
              <w:rPr>
                <w:sz w:val="24"/>
                <w:rFonts w:ascii="Times New Roman" w:hAnsi="Times New Roman"/>
              </w:rPr>
              <w:t xml:space="preserve">) aplēšanai un validēšanai izmantotajām definīcijām, metodēm un datiem, ietverot informāciju par to, kā zemas iespējamības saistību neizpildes portfeļiem tiek aplēsta un validēta </w:t>
            </w:r>
            <w:r>
              <w:rPr>
                <w:sz w:val="24"/>
                <w:i/>
                <w:rFonts w:ascii="Times New Roman" w:hAnsi="Times New Roman"/>
              </w:rPr>
              <w:t xml:space="preserve">PD</w:t>
            </w:r>
            <w:r>
              <w:rPr>
                <w:sz w:val="24"/>
                <w:rFonts w:ascii="Times New Roman" w:hAnsi="Times New Roman"/>
              </w:rPr>
              <w:t xml:space="preserve">, vai regulējumā ir noteiktas kādas piemērojamas minimālās robežvērtības un kādi faktori nosaka novērotās atšķirības starp </w:t>
            </w:r>
            <w:r>
              <w:rPr>
                <w:sz w:val="24"/>
                <w:i/>
                <w:rFonts w:ascii="Times New Roman" w:hAnsi="Times New Roman"/>
              </w:rPr>
              <w:t xml:space="preserve">PD</w:t>
            </w:r>
            <w:r>
              <w:rPr>
                <w:sz w:val="24"/>
                <w:rFonts w:ascii="Times New Roman" w:hAnsi="Times New Roman"/>
              </w:rPr>
              <w:t xml:space="preserve"> aplēsēm un faktiskajiem saistību neizpildes rādītājiem vismaz pēdējos trīs gados;</w:t>
            </w:r>
            <w:r>
              <w:rPr>
                <w:sz w:val="24"/>
                <w:rFonts w:ascii="Times New Roman" w:hAnsi="Times New Roman"/>
              </w:rPr>
              <w:t xml:space="preserve"> </w:t>
            </w:r>
          </w:p>
          <w:p w14:paraId="17540568" w14:textId="77777777" w:rsidR="00087388" w:rsidRPr="000A6489" w:rsidRDefault="00087388" w:rsidP="00725D4D">
            <w:pPr>
              <w:spacing w:after="120"/>
              <w:jc w:val="both"/>
              <w:rPr>
                <w:sz w:val="24"/>
                <w:rFonts w:ascii="Times New Roman" w:hAnsi="Times New Roman" w:cs="Times New Roman"/>
              </w:rPr>
            </w:pPr>
            <w:r>
              <w:rPr>
                <w:sz w:val="24"/>
                <w:rFonts w:ascii="Times New Roman" w:hAnsi="Times New Roman"/>
              </w:rPr>
              <w:t xml:space="preserve">ii) attiecīgā gadījumā – </w:t>
            </w:r>
            <w:r>
              <w:rPr>
                <w:sz w:val="24"/>
                <w:i/>
                <w:rFonts w:ascii="Times New Roman" w:hAnsi="Times New Roman"/>
              </w:rPr>
              <w:t xml:space="preserve">LGD</w:t>
            </w:r>
            <w:r>
              <w:rPr>
                <w:sz w:val="24"/>
                <w:rFonts w:ascii="Times New Roman" w:hAnsi="Times New Roman"/>
              </w:rPr>
              <w:t xml:space="preserve"> aplēšanai un validēšanai izmantotajām definīcijām, metodēm un datiem, tajā skaitā par lejupslīdes </w:t>
            </w:r>
            <w:r>
              <w:rPr>
                <w:sz w:val="24"/>
                <w:i/>
                <w:rFonts w:ascii="Times New Roman" w:hAnsi="Times New Roman"/>
              </w:rPr>
              <w:t xml:space="preserve">LGD</w:t>
            </w:r>
            <w:r>
              <w:rPr>
                <w:sz w:val="24"/>
                <w:rFonts w:ascii="Times New Roman" w:hAnsi="Times New Roman"/>
              </w:rPr>
              <w:t xml:space="preserve"> aplēšanu un validēšanu, sniedzot informāciju par to, kā zemas iespējamības saistību neizpildes portfeļiem aprēķina </w:t>
            </w:r>
            <w:r>
              <w:rPr>
                <w:sz w:val="24"/>
                <w:i/>
                <w:rFonts w:ascii="Times New Roman" w:hAnsi="Times New Roman"/>
              </w:rPr>
              <w:t xml:space="preserve">LGD</w:t>
            </w:r>
            <w:r>
              <w:rPr>
                <w:sz w:val="24"/>
                <w:rFonts w:ascii="Times New Roman" w:hAnsi="Times New Roman"/>
              </w:rPr>
              <w:t xml:space="preserve">, un vidējo laika sprīdi starp saistību neizpildes notikumu un riska darījuma slēgšanu;</w:t>
            </w:r>
            <w:r>
              <w:rPr>
                <w:sz w:val="24"/>
                <w:rFonts w:ascii="Times New Roman" w:hAnsi="Times New Roman"/>
              </w:rPr>
              <w:t xml:space="preserve"> </w:t>
            </w:r>
          </w:p>
          <w:p w14:paraId="1E7620D5" w14:textId="77777777" w:rsidR="00087388" w:rsidRPr="000A6489" w:rsidRDefault="00087388" w:rsidP="00725D4D">
            <w:pPr>
              <w:spacing w:after="120"/>
              <w:jc w:val="both"/>
              <w:rPr>
                <w:sz w:val="24"/>
                <w:rFonts w:ascii="Times New Roman" w:hAnsi="Times New Roman" w:cs="Times New Roman"/>
              </w:rPr>
            </w:pPr>
            <w:r>
              <w:rPr>
                <w:sz w:val="24"/>
                <w:rFonts w:ascii="Times New Roman" w:hAnsi="Times New Roman"/>
              </w:rPr>
              <w:t xml:space="preserve">iii) attiecīgā gadījumā – korekcijas pakāpju aplēšanai un validēšanai izmantotajām definīcijām, metodēm un datiem, tajā skaitā pieņēmumiem, kas tiek izmantoti šo aplēšu iegūšanai.</w:t>
            </w:r>
          </w:p>
        </w:tc>
      </w:tr>
    </w:tbl>
    <w:p w14:paraId="5DAB6C7B" w14:textId="77777777" w:rsidR="00087388" w:rsidRPr="00F1728C" w:rsidRDefault="00087388" w:rsidP="00087388">
      <w:pPr>
        <w:spacing w:after="120"/>
        <w:rPr>
          <w:rFonts w:ascii="Times New Roman" w:hAnsi="Times New Roman" w:cs="Times New Roman"/>
          <w:sz w:val="24"/>
        </w:rPr>
      </w:pPr>
    </w:p>
    <w:p w14:paraId="6E846DD6" w14:textId="77777777" w:rsidR="00087388" w:rsidRPr="00F1728C" w:rsidRDefault="00087388" w:rsidP="00087388">
      <w:pPr>
        <w:spacing w:after="120"/>
        <w:rPr>
          <w:sz w:val="24"/>
          <w:rFonts w:ascii="Times New Roman" w:hAnsi="Times New Roman" w:cs="Times New Roman"/>
        </w:rPr>
      </w:pPr>
      <w:r>
        <w:rPr>
          <w:b/>
          <w:sz w:val="24"/>
          <w:rFonts w:ascii="Times New Roman" w:hAnsi="Times New Roman"/>
        </w:rPr>
        <w:t xml:space="preserve">Veidne EU CR6 – </w:t>
      </w:r>
      <w:r>
        <w:rPr>
          <w:b/>
          <w:sz w:val="24"/>
          <w:i/>
          <w:rFonts w:ascii="Times New Roman" w:hAnsi="Times New Roman"/>
        </w:rPr>
        <w:t xml:space="preserve">IRB</w:t>
      </w:r>
      <w:r>
        <w:rPr>
          <w:b/>
          <w:sz w:val="24"/>
          <w:rFonts w:ascii="Times New Roman" w:hAnsi="Times New Roman"/>
        </w:rPr>
        <w:t xml:space="preserve"> pieeja – kredītriska darījumi sadalījumā pa riska darījumu kategorijām un </w:t>
      </w:r>
      <w:r>
        <w:rPr>
          <w:b/>
          <w:sz w:val="24"/>
          <w:i/>
          <w:rFonts w:ascii="Times New Roman" w:hAnsi="Times New Roman"/>
        </w:rPr>
        <w:t xml:space="preserve">PD</w:t>
      </w:r>
      <w:r>
        <w:rPr>
          <w:b/>
          <w:sz w:val="24"/>
          <w:rFonts w:ascii="Times New Roman" w:hAnsi="Times New Roman"/>
        </w:rPr>
        <w:t xml:space="preserve"> diapazoniem.</w:t>
      </w:r>
      <w:r>
        <w:rPr>
          <w:b/>
          <w:sz w:val="24"/>
          <w:rFonts w:ascii="Times New Roman" w:hAnsi="Times New Roman"/>
        </w:rPr>
        <w:t xml:space="preserve"> </w:t>
      </w:r>
      <w:r>
        <w:rPr>
          <w:b/>
          <w:sz w:val="24"/>
          <w:rFonts w:ascii="Times New Roman" w:hAnsi="Times New Roman"/>
        </w:rPr>
        <w:t xml:space="preserve">Fiksēta veidne.</w:t>
      </w:r>
    </w:p>
    <w:p w14:paraId="28F760F7" w14:textId="286BC4B3" w:rsidR="003B7D6C" w:rsidRPr="00F1728C" w:rsidRDefault="00087388" w:rsidP="11F50173">
      <w:pPr>
        <w:pStyle w:val="ListParagraph"/>
        <w:numPr>
          <w:ilvl w:val="0"/>
          <w:numId w:val="7"/>
        </w:numPr>
        <w:spacing w:after="120"/>
        <w:jc w:val="both"/>
        <w:rPr>
          <w:sz w:val="24"/>
          <w:szCs w:val="24"/>
          <w:rFonts w:ascii="Times New Roman" w:hAnsi="Times New Roman"/>
        </w:rPr>
      </w:pPr>
      <w:r>
        <w:rPr>
          <w:sz w:val="24"/>
          <w:rFonts w:ascii="Times New Roman" w:hAnsi="Times New Roman"/>
        </w:rPr>
        <w:t xml:space="preserve">Iestādes atklāj Regulas (ES) 575/2013 452. panta g) punkta i)–v) apakšpunktā minēto informāciju par galvenajiem parametriem, ko izmanto, lai aprēķinātu kapitāla prasības </w:t>
      </w:r>
      <w:r>
        <w:rPr>
          <w:sz w:val="24"/>
          <w:i/>
          <w:rFonts w:ascii="Times New Roman" w:hAnsi="Times New Roman"/>
        </w:rPr>
        <w:t xml:space="preserve">IRB</w:t>
      </w:r>
      <w:r>
        <w:rPr>
          <w:sz w:val="24"/>
          <w:rFonts w:ascii="Times New Roman" w:hAnsi="Times New Roman"/>
        </w:rPr>
        <w:t xml:space="preserve"> pieejai, ievērojot turpmāk šajā pielikumā sniegtos norādījumus, lai aizpildītu EBI IT risinājumu XXI pielikumā ietverto veidni EU CR6.</w:t>
      </w:r>
      <w:r>
        <w:rPr>
          <w:sz w:val="24"/>
          <w:rFonts w:ascii="Times New Roman" w:hAnsi="Times New Roman"/>
        </w:rPr>
        <w:t xml:space="preserve"> </w:t>
      </w:r>
      <w:r>
        <w:rPr>
          <w:sz w:val="24"/>
          <w:rFonts w:ascii="Times New Roman" w:hAnsi="Times New Roman"/>
        </w:rPr>
        <w:t xml:space="preserve">Šajā veidnē atklātajā informācijā neiekļauj datus par speciālo kreditēšanu, kas minēta Regulas (ES) 575/2013 153. panta 4. punktā.</w:t>
      </w:r>
      <w:r>
        <w:rPr>
          <w:sz w:val="24"/>
          <w:rFonts w:ascii="Times New Roman" w:hAnsi="Times New Roman"/>
        </w:rPr>
        <w:t xml:space="preserve"> </w:t>
      </w:r>
      <w:r>
        <w:rPr>
          <w:sz w:val="24"/>
          <w:rFonts w:ascii="Times New Roman" w:hAnsi="Times New Roman"/>
        </w:rPr>
        <w:t xml:space="preserve">Šajā veidnē neiekļauj darījuma partnera kredītriska (CCR) riska darījumus (Regulas (ES) Nr. 575/2013 trešās daļas II sadaļas 6. nodaļa), vērtspapīrošanas riska darījumus, citus aktīvus, kas nav kredītsaistības, riska darījumus ar kolektīvo ieguldījumu uzņēmumiem un kapitāla vērtspapīru riska darījumus.</w:t>
      </w:r>
      <w:r>
        <w:rPr>
          <w:sz w:val="24"/>
          <w:rFonts w:ascii="Times New Roman" w:hAnsi="Times New Roman"/>
        </w:rPr>
        <w:t xml:space="preserve"> </w:t>
      </w:r>
    </w:p>
    <w:p w14:paraId="6A05A809" w14:textId="77777777" w:rsidR="00087388" w:rsidRPr="00F1728C" w:rsidRDefault="00087388" w:rsidP="00087388">
      <w:pPr>
        <w:spacing w:after="120"/>
        <w:rPr>
          <w:rFonts w:ascii="Times New Roman" w:hAnsi="Times New Roman" w:cs="Times New Roman"/>
          <w:sz w:val="24"/>
        </w:rPr>
      </w:pPr>
    </w:p>
    <w:p w14:paraId="5A39BBE3" w14:textId="77777777" w:rsidR="00087388" w:rsidRPr="00F1728C" w:rsidRDefault="00087388" w:rsidP="00087388">
      <w:pPr>
        <w:spacing w:after="120"/>
        <w:rPr>
          <w:rFonts w:ascii="Times New Roman" w:hAnsi="Times New Roman" w:cs="Times New Roman"/>
          <w:sz w:val="24"/>
        </w:rPr>
      </w:pPr>
    </w:p>
    <w:tbl>
      <w:tblPr>
        <w:tblW w:w="9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7483"/>
      </w:tblGrid>
      <w:tr w:rsidR="00087388" w:rsidRPr="00F1728C" w14:paraId="1964CAA6" w14:textId="77777777" w:rsidTr="60FDE7BB">
        <w:trPr>
          <w:trHeight w:val="238"/>
        </w:trPr>
        <w:tc>
          <w:tcPr>
            <w:tcW w:w="1555" w:type="dxa"/>
            <w:vMerge w:val="restart"/>
            <w:shd w:val="clear" w:color="auto" w:fill="D9D9D9" w:themeFill="background1" w:themeFillShade="D9"/>
          </w:tcPr>
          <w:p w14:paraId="66A5CFB2" w14:textId="77777777" w:rsidR="00087388" w:rsidRPr="00F1728C" w:rsidRDefault="00087388" w:rsidP="00725D4D">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Atsauce uz aili</w:t>
            </w:r>
          </w:p>
        </w:tc>
        <w:tc>
          <w:tcPr>
            <w:tcW w:w="7483" w:type="dxa"/>
            <w:shd w:val="clear" w:color="auto" w:fill="D9D9D9" w:themeFill="background1" w:themeFillShade="D9"/>
          </w:tcPr>
          <w:p w14:paraId="5A879875" w14:textId="77777777" w:rsidR="00087388" w:rsidRPr="00F1728C" w:rsidRDefault="00087388" w:rsidP="00725D4D">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Atsauces uz tiesību aktiem un norādījumi</w:t>
            </w:r>
          </w:p>
        </w:tc>
      </w:tr>
      <w:tr w:rsidR="00087388" w:rsidRPr="00F1728C" w14:paraId="29346F2B" w14:textId="77777777" w:rsidTr="60FDE7BB">
        <w:trPr>
          <w:trHeight w:val="238"/>
        </w:trPr>
        <w:tc>
          <w:tcPr>
            <w:tcW w:w="1555" w:type="dxa"/>
            <w:vMerge/>
          </w:tcPr>
          <w:p w14:paraId="41C8F396"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483" w:type="dxa"/>
            <w:shd w:val="clear" w:color="auto" w:fill="D9D9D9" w:themeFill="background1" w:themeFillShade="D9"/>
          </w:tcPr>
          <w:p w14:paraId="30C9A014" w14:textId="77777777" w:rsidR="00087388" w:rsidRPr="00F1728C" w:rsidRDefault="00087388" w:rsidP="00725D4D">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Paskaidrojums</w:t>
            </w:r>
          </w:p>
        </w:tc>
      </w:tr>
      <w:tr w:rsidR="009610E4" w:rsidRPr="009610E4" w14:paraId="3E7B8EBB" w14:textId="77777777" w:rsidTr="60FDE7BB">
        <w:trPr>
          <w:trHeight w:val="841"/>
        </w:trPr>
        <w:tc>
          <w:tcPr>
            <w:tcW w:w="1555" w:type="dxa"/>
          </w:tcPr>
          <w:p w14:paraId="45F94F8F" w14:textId="10DE2BCE" w:rsidR="00087388" w:rsidRPr="000A6489" w:rsidRDefault="00087388" w:rsidP="00725D4D">
            <w:pPr>
              <w:pStyle w:val="Applicationdirecte"/>
              <w:spacing w:before="0"/>
            </w:pPr>
          </w:p>
        </w:tc>
        <w:tc>
          <w:tcPr>
            <w:tcW w:w="7483" w:type="dxa"/>
          </w:tcPr>
          <w:p w14:paraId="285BBBEE" w14:textId="77777777" w:rsidR="00087388" w:rsidRPr="009610E4" w:rsidRDefault="00087388" w:rsidP="00725D4D">
            <w:pPr>
              <w:pStyle w:val="Applicationdirecte"/>
              <w:spacing w:before="0"/>
              <w:rPr>
                <w:b/>
              </w:rPr>
            </w:pPr>
            <w:r>
              <w:rPr>
                <w:b/>
                <w:i/>
              </w:rPr>
              <w:t xml:space="preserve">PD</w:t>
            </w:r>
            <w:r>
              <w:rPr>
                <w:b/>
              </w:rPr>
              <w:t xml:space="preserve"> diapazons</w:t>
            </w:r>
          </w:p>
          <w:p w14:paraId="0B5D39B9" w14:textId="77777777" w:rsidR="00087388" w:rsidRPr="009610E4" w:rsidRDefault="00087388" w:rsidP="00725D4D">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Šis ir fiksēts </w:t>
            </w:r>
            <w:r>
              <w:rPr>
                <w:sz w:val="24"/>
                <w:i/>
                <w:rFonts w:ascii="Times New Roman" w:hAnsi="Times New Roman"/>
              </w:rPr>
              <w:t xml:space="preserve">PD</w:t>
            </w:r>
            <w:r>
              <w:rPr>
                <w:sz w:val="24"/>
                <w:rFonts w:ascii="Times New Roman" w:hAnsi="Times New Roman"/>
              </w:rPr>
              <w:t xml:space="preserve"> diapazons, ko nemaina.</w:t>
            </w:r>
          </w:p>
          <w:p w14:paraId="5069DCCA" w14:textId="36434924" w:rsidR="00087388" w:rsidRPr="009610E4" w:rsidRDefault="00087388">
            <w:pPr>
              <w:pStyle w:val="Fait"/>
              <w:spacing w:before="0" w:after="120"/>
            </w:pPr>
            <w:r>
              <w:t xml:space="preserve">Ja dati par riska darījumiem, kuros netiek pildītas saistības, saskaņā ar Regulas (ES) 575/2013 178. pantu tiek sadalīti sīkāk atbilstoši iespējamām definīcijām attiecībā uz to riska darījumu kategorijām, kuros netiek pildītas saistības, definīcijas un vērtības attiecībā uz to riska darījumu kategorijām, kuros netiek pildītas saistības, izskaidro pievienotajā izklāsta daļā.</w:t>
            </w:r>
          </w:p>
          <w:p w14:paraId="00D99C0B" w14:textId="4E59B29C" w:rsidR="00087388" w:rsidRPr="009610E4" w:rsidRDefault="00087388" w:rsidP="00725D4D">
            <w:pPr>
              <w:pStyle w:val="Fait"/>
              <w:spacing w:before="0" w:after="120"/>
            </w:pPr>
            <w:r>
              <w:t xml:space="preserve">Riska darījumus iedala atbilstošā fiksētā </w:t>
            </w:r>
            <w:r>
              <w:rPr>
                <w:i/>
              </w:rPr>
              <w:t xml:space="preserve">PD</w:t>
            </w:r>
            <w:r>
              <w:t xml:space="preserve"> diapazona grupā, pamatojoties uz </w:t>
            </w:r>
            <w:r>
              <w:rPr>
                <w:i/>
              </w:rPr>
              <w:t xml:space="preserve">PD</w:t>
            </w:r>
            <w:r>
              <w:t xml:space="preserve">, kas aplēsta par katru parādnieku, kurš iedalīts šajā riska darījumu kategorijā (ņemot vērā aizstāšanas ietekmi saistībā ar kredītriska mazināšanu).</w:t>
            </w:r>
            <w:r>
              <w:t xml:space="preserve"> </w:t>
            </w:r>
            <w:r>
              <w:t xml:space="preserve">Visus riska darījumus, kuros netiek pildītas saistības, iekļauj grupā, kur </w:t>
            </w:r>
            <w:r>
              <w:rPr>
                <w:i/>
              </w:rPr>
              <w:t xml:space="preserve">PD</w:t>
            </w:r>
            <w:r>
              <w:t xml:space="preserve"> ir 100 %.</w:t>
            </w:r>
          </w:p>
        </w:tc>
      </w:tr>
      <w:tr w:rsidR="009610E4" w:rsidRPr="009610E4" w14:paraId="57FFA5E6" w14:textId="77777777" w:rsidTr="60FDE7BB">
        <w:trPr>
          <w:trHeight w:val="1320"/>
        </w:trPr>
        <w:tc>
          <w:tcPr>
            <w:tcW w:w="1555" w:type="dxa"/>
          </w:tcPr>
          <w:p w14:paraId="20988227" w14:textId="6225DDEA" w:rsidR="00087388" w:rsidRPr="009610E4" w:rsidRDefault="00E643F5" w:rsidP="00725D4D">
            <w:pPr>
              <w:pStyle w:val="Applicationdirecte"/>
              <w:spacing w:before="0"/>
            </w:pPr>
            <w:r>
              <w:t xml:space="preserve">a</w:t>
            </w:r>
          </w:p>
          <w:p w14:paraId="72A3D3EC" w14:textId="77777777" w:rsidR="00087388" w:rsidRPr="000A6489" w:rsidRDefault="00087388" w:rsidP="00725D4D">
            <w:pPr>
              <w:pStyle w:val="Applicationdirecte"/>
              <w:spacing w:before="0"/>
            </w:pPr>
          </w:p>
        </w:tc>
        <w:tc>
          <w:tcPr>
            <w:tcW w:w="7483" w:type="dxa"/>
          </w:tcPr>
          <w:p w14:paraId="393B4B60" w14:textId="77777777" w:rsidR="00087388" w:rsidRPr="009610E4" w:rsidRDefault="00087388" w:rsidP="00725D4D">
            <w:pPr>
              <w:pStyle w:val="Fait"/>
              <w:spacing w:before="0" w:after="120"/>
              <w:rPr>
                <w:b/>
              </w:rPr>
            </w:pPr>
            <w:r>
              <w:rPr>
                <w:b/>
              </w:rPr>
              <w:t xml:space="preserve">Bilances riska darījumi</w:t>
            </w:r>
          </w:p>
          <w:p w14:paraId="27BE9730" w14:textId="7C0E0686" w:rsidR="00087388" w:rsidRPr="009610E4" w:rsidRDefault="00087388">
            <w:pPr>
              <w:pStyle w:val="Fait"/>
              <w:spacing w:before="0" w:after="120"/>
            </w:pPr>
            <w:r>
              <w:t xml:space="preserve">Riska darījumu vērtība, kas aprēķināta saskaņā ar Regulas (ES) 575/2013 166. panta 1.–7. punktu, neņemot vērā kredītriska korekcijas un korekcijas pakāpes.</w:t>
            </w:r>
          </w:p>
        </w:tc>
      </w:tr>
      <w:tr w:rsidR="009610E4" w:rsidRPr="009610E4" w14:paraId="023C46E1" w14:textId="77777777" w:rsidTr="60FDE7BB">
        <w:trPr>
          <w:trHeight w:val="316"/>
        </w:trPr>
        <w:tc>
          <w:tcPr>
            <w:tcW w:w="1555" w:type="dxa"/>
          </w:tcPr>
          <w:p w14:paraId="7968FAB6" w14:textId="03D2485B" w:rsidR="00087388" w:rsidRPr="000A6489" w:rsidRDefault="00E643F5" w:rsidP="00725D4D">
            <w:pPr>
              <w:autoSpaceDE w:val="0"/>
              <w:autoSpaceDN w:val="0"/>
              <w:adjustRightInd w:val="0"/>
              <w:spacing w:after="120"/>
              <w:rPr>
                <w:sz w:val="24"/>
                <w:rFonts w:ascii="Times New Roman" w:hAnsi="Times New Roman" w:cs="Times New Roman"/>
              </w:rPr>
            </w:pPr>
            <w:r>
              <w:rPr>
                <w:sz w:val="24"/>
                <w:rFonts w:ascii="Times New Roman" w:hAnsi="Times New Roman"/>
              </w:rPr>
              <w:t xml:space="preserve">b</w:t>
            </w:r>
          </w:p>
        </w:tc>
        <w:tc>
          <w:tcPr>
            <w:tcW w:w="7483" w:type="dxa"/>
          </w:tcPr>
          <w:p w14:paraId="4850F09F" w14:textId="77777777" w:rsidR="00087388" w:rsidRPr="009610E4" w:rsidRDefault="00087388" w:rsidP="00725D4D">
            <w:pPr>
              <w:autoSpaceDE w:val="0"/>
              <w:autoSpaceDN w:val="0"/>
              <w:adjustRightInd w:val="0"/>
              <w:spacing w:after="120"/>
              <w:jc w:val="both"/>
              <w:rPr>
                <w:b/>
                <w:sz w:val="24"/>
                <w:rFonts w:ascii="Times New Roman" w:eastAsia="Times New Roman" w:hAnsi="Times New Roman" w:cs="Times New Roman"/>
              </w:rPr>
            </w:pPr>
            <w:r>
              <w:rPr>
                <w:b/>
                <w:sz w:val="24"/>
                <w:rFonts w:ascii="Times New Roman" w:hAnsi="Times New Roman"/>
              </w:rPr>
              <w:t xml:space="preserve">Ārpusbilances riska darījumi pirms korekcijas pakāpēm (</w:t>
            </w:r>
            <w:r>
              <w:rPr>
                <w:b/>
                <w:sz w:val="24"/>
                <w:i/>
                <w:rFonts w:ascii="Times New Roman" w:hAnsi="Times New Roman"/>
              </w:rPr>
              <w:t xml:space="preserve">CCF</w:t>
            </w:r>
            <w:r>
              <w:rPr>
                <w:b/>
                <w:sz w:val="24"/>
                <w:rFonts w:ascii="Times New Roman" w:hAnsi="Times New Roman"/>
              </w:rPr>
              <w:t xml:space="preserve">)</w:t>
            </w:r>
          </w:p>
          <w:p w14:paraId="6E470CA5" w14:textId="069F6968" w:rsidR="00087388" w:rsidRPr="000A6489" w:rsidRDefault="00087388" w:rsidP="11F50173">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Riska darījumu vērtība saskaņā ar Regulas (ES) 575/2013 166. panta 1.–7. punktu, neņemot vērā kredītriska korekcijas un korekcijas pakāpes – ne pašu aplēses, ne korekcijas pakāpes, kas norādītas Regulas (ES) 575/2013 166. panta 8. punktā.</w:t>
            </w:r>
          </w:p>
          <w:p w14:paraId="4A39B318" w14:textId="45098AB7" w:rsidR="00087388" w:rsidRPr="000A6489" w:rsidRDefault="00087388" w:rsidP="11F50173">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Ārpusbilances riska darījumi ietver visas piešķirtās, bet vēl neizmantotās summas, un visus ārpusbilances posteņus, kas uzskaitīti Regulas (ES) 575/2013 I pielikumā.</w:t>
            </w:r>
          </w:p>
        </w:tc>
      </w:tr>
      <w:tr w:rsidR="009610E4" w:rsidRPr="009610E4" w14:paraId="43FD8B39" w14:textId="77777777" w:rsidTr="60FDE7BB">
        <w:trPr>
          <w:trHeight w:val="316"/>
        </w:trPr>
        <w:tc>
          <w:tcPr>
            <w:tcW w:w="1555" w:type="dxa"/>
          </w:tcPr>
          <w:p w14:paraId="5C2BBC0D" w14:textId="07ACE7EC" w:rsidR="00087388" w:rsidRPr="000A6489" w:rsidRDefault="00E643F5" w:rsidP="00725D4D">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c</w:t>
            </w:r>
          </w:p>
        </w:tc>
        <w:tc>
          <w:tcPr>
            <w:tcW w:w="7483" w:type="dxa"/>
          </w:tcPr>
          <w:p w14:paraId="27134C40" w14:textId="77777777" w:rsidR="00087388" w:rsidRPr="009610E4" w:rsidRDefault="00087388" w:rsidP="00725D4D">
            <w:pPr>
              <w:autoSpaceDE w:val="0"/>
              <w:autoSpaceDN w:val="0"/>
              <w:adjustRightInd w:val="0"/>
              <w:spacing w:after="120"/>
              <w:jc w:val="both"/>
              <w:rPr>
                <w:b/>
                <w:sz w:val="24"/>
                <w:rFonts w:ascii="Times New Roman" w:eastAsia="Times New Roman" w:hAnsi="Times New Roman" w:cs="Times New Roman"/>
              </w:rPr>
            </w:pPr>
            <w:r>
              <w:rPr>
                <w:b/>
                <w:sz w:val="24"/>
                <w:rFonts w:ascii="Times New Roman" w:hAnsi="Times New Roman"/>
              </w:rPr>
              <w:t xml:space="preserve">Riska darījumu svērtās vidējās </w:t>
            </w:r>
            <w:r>
              <w:rPr>
                <w:b/>
                <w:sz w:val="24"/>
                <w:i/>
                <w:rFonts w:ascii="Times New Roman" w:hAnsi="Times New Roman"/>
              </w:rPr>
              <w:t xml:space="preserve">CCF</w:t>
            </w:r>
          </w:p>
          <w:p w14:paraId="0D5A9915" w14:textId="411D4FC5" w:rsidR="00087388" w:rsidRPr="000A6489" w:rsidRDefault="00087388" w:rsidP="00725D4D">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Par visiem riska darījumiem, kas iekļauti katrā fiksētā </w:t>
            </w:r>
            <w:r>
              <w:rPr>
                <w:sz w:val="24"/>
                <w:i/>
                <w:rFonts w:ascii="Times New Roman" w:hAnsi="Times New Roman"/>
              </w:rPr>
              <w:t xml:space="preserve">PD</w:t>
            </w:r>
            <w:r>
              <w:rPr>
                <w:sz w:val="24"/>
                <w:rFonts w:ascii="Times New Roman" w:hAnsi="Times New Roman"/>
              </w:rPr>
              <w:t xml:space="preserve"> diapazona grupā, – vidējā korekcijas pakāpe, kuru iestādes izmanto, aprēķinot riska svērtās riska darījumu summas, kas ir svērtas ar ārpusbilances riska darījumiem pirms </w:t>
            </w:r>
            <w:r>
              <w:rPr>
                <w:sz w:val="24"/>
                <w:i/>
                <w:rFonts w:ascii="Times New Roman" w:hAnsi="Times New Roman"/>
              </w:rPr>
              <w:t xml:space="preserve">CCF</w:t>
            </w:r>
            <w:r>
              <w:rPr>
                <w:sz w:val="24"/>
                <w:rFonts w:ascii="Times New Roman" w:hAnsi="Times New Roman"/>
              </w:rPr>
              <w:t xml:space="preserve"> piemērošanas, kā norādīts šīs veidnes c ailē.</w:t>
            </w:r>
          </w:p>
        </w:tc>
      </w:tr>
      <w:tr w:rsidR="009610E4" w:rsidRPr="009610E4" w14:paraId="424E60D6" w14:textId="77777777" w:rsidTr="60FDE7BB">
        <w:trPr>
          <w:trHeight w:val="316"/>
        </w:trPr>
        <w:tc>
          <w:tcPr>
            <w:tcW w:w="1555" w:type="dxa"/>
          </w:tcPr>
          <w:p w14:paraId="02C161FA" w14:textId="0F4A049B" w:rsidR="00087388" w:rsidRPr="000A6489" w:rsidRDefault="00E643F5" w:rsidP="00725D4D">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d</w:t>
            </w:r>
          </w:p>
        </w:tc>
        <w:tc>
          <w:tcPr>
            <w:tcW w:w="7483" w:type="dxa"/>
          </w:tcPr>
          <w:p w14:paraId="4CF9B440" w14:textId="77777777" w:rsidR="00087388" w:rsidRPr="009610E4" w:rsidRDefault="00087388" w:rsidP="00725D4D">
            <w:pPr>
              <w:autoSpaceDE w:val="0"/>
              <w:autoSpaceDN w:val="0"/>
              <w:adjustRightInd w:val="0"/>
              <w:spacing w:after="120"/>
              <w:rPr>
                <w:b/>
                <w:sz w:val="24"/>
                <w:rFonts w:ascii="Times New Roman" w:eastAsia="Times New Roman" w:hAnsi="Times New Roman" w:cs="Times New Roman"/>
              </w:rPr>
            </w:pPr>
            <w:r>
              <w:rPr>
                <w:b/>
                <w:sz w:val="24"/>
                <w:rFonts w:ascii="Times New Roman" w:hAnsi="Times New Roman"/>
              </w:rPr>
              <w:t xml:space="preserve">Riska darījumu vērtība pēc </w:t>
            </w:r>
            <w:r>
              <w:rPr>
                <w:b/>
                <w:sz w:val="24"/>
                <w:i/>
                <w:rFonts w:ascii="Times New Roman" w:hAnsi="Times New Roman"/>
              </w:rPr>
              <w:t xml:space="preserve">CCF</w:t>
            </w:r>
            <w:r>
              <w:rPr>
                <w:b/>
                <w:sz w:val="24"/>
                <w:rFonts w:ascii="Times New Roman" w:hAnsi="Times New Roman"/>
              </w:rPr>
              <w:t xml:space="preserve"> un pēc kredītriska mazināšanas pasākumiem</w:t>
            </w:r>
          </w:p>
          <w:p w14:paraId="759BF3E5" w14:textId="3DAEAAB5" w:rsidR="00087388" w:rsidRPr="009610E4" w:rsidRDefault="00087388" w:rsidP="11F50173">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Riska darījumu vērtība saskaņā ar Regulas (ES) Nr. 575/2013 166. pantu.</w:t>
            </w:r>
          </w:p>
          <w:p w14:paraId="0953D1A1" w14:textId="60C7F852" w:rsidR="00087388" w:rsidRPr="000A6489" w:rsidRDefault="00087388" w:rsidP="11F50173">
            <w:pPr>
              <w:autoSpaceDE w:val="0"/>
              <w:autoSpaceDN w:val="0"/>
              <w:adjustRightInd w:val="0"/>
              <w:spacing w:after="120"/>
              <w:rPr>
                <w:sz w:val="24"/>
                <w:rFonts w:ascii="Times New Roman" w:hAnsi="Times New Roman" w:cs="Times New Roman"/>
              </w:rPr>
            </w:pPr>
            <w:r>
              <w:rPr>
                <w:sz w:val="24"/>
                <w:rFonts w:ascii="Times New Roman" w:hAnsi="Times New Roman"/>
              </w:rPr>
              <w:t xml:space="preserve">Šajā ailē norāda bilances riska darījumu vērtības un ārpusbilances riska darījumu vērtības kopsummu pēc korekcijas pakāpju un procentuālo daļu piemērošanas saskaņā ar Regulas (ES) 575/2013 166. panta 8. un 9. punktu.</w:t>
            </w:r>
          </w:p>
        </w:tc>
      </w:tr>
      <w:tr w:rsidR="00087388" w:rsidRPr="00F1728C" w14:paraId="03D4CBDA" w14:textId="77777777" w:rsidTr="60FDE7BB">
        <w:trPr>
          <w:trHeight w:val="695"/>
        </w:trPr>
        <w:tc>
          <w:tcPr>
            <w:tcW w:w="1555" w:type="dxa"/>
          </w:tcPr>
          <w:p w14:paraId="2EEE3EE6" w14:textId="498E6F5D" w:rsidR="00087388" w:rsidRPr="000A6489" w:rsidRDefault="00E643F5" w:rsidP="00725D4D">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e</w:t>
            </w:r>
          </w:p>
        </w:tc>
        <w:tc>
          <w:tcPr>
            <w:tcW w:w="7483" w:type="dxa"/>
          </w:tcPr>
          <w:p w14:paraId="4B042DBA" w14:textId="77777777" w:rsidR="00087388" w:rsidRPr="00F1728C" w:rsidRDefault="00087388" w:rsidP="00725D4D">
            <w:pPr>
              <w:autoSpaceDE w:val="0"/>
              <w:autoSpaceDN w:val="0"/>
              <w:adjustRightInd w:val="0"/>
              <w:spacing w:after="120"/>
              <w:jc w:val="both"/>
              <w:rPr>
                <w:b/>
                <w:sz w:val="24"/>
                <w:rFonts w:ascii="Times New Roman" w:eastAsia="Times New Roman" w:hAnsi="Times New Roman" w:cs="Times New Roman"/>
              </w:rPr>
            </w:pPr>
            <w:r>
              <w:rPr>
                <w:b/>
                <w:sz w:val="24"/>
                <w:rFonts w:ascii="Times New Roman" w:hAnsi="Times New Roman"/>
              </w:rPr>
              <w:t xml:space="preserve">Riska darījumu svērtā vidējā </w:t>
            </w:r>
            <w:r>
              <w:rPr>
                <w:b/>
                <w:sz w:val="24"/>
                <w:i/>
                <w:rFonts w:ascii="Times New Roman" w:hAnsi="Times New Roman"/>
              </w:rPr>
              <w:t xml:space="preserve">PD</w:t>
            </w:r>
            <w:r>
              <w:rPr>
                <w:b/>
                <w:sz w:val="24"/>
                <w:rFonts w:ascii="Times New Roman" w:hAnsi="Times New Roman"/>
              </w:rPr>
              <w:t xml:space="preserve"> (%)</w:t>
            </w:r>
          </w:p>
          <w:p w14:paraId="529D72CA" w14:textId="77777777" w:rsidR="00087388" w:rsidRPr="000A6489" w:rsidRDefault="00087388" w:rsidP="00725D4D">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Par visiem riska darījumiem, kas iekļauti katrā fiksētā </w:t>
            </w:r>
            <w:r>
              <w:rPr>
                <w:sz w:val="24"/>
                <w:i/>
                <w:rFonts w:ascii="Times New Roman" w:hAnsi="Times New Roman"/>
              </w:rPr>
              <w:t xml:space="preserve">PD</w:t>
            </w:r>
            <w:r>
              <w:rPr>
                <w:sz w:val="24"/>
                <w:rFonts w:ascii="Times New Roman" w:hAnsi="Times New Roman"/>
              </w:rPr>
              <w:t xml:space="preserve"> diapazona grupā, – vidējās </w:t>
            </w:r>
            <w:r>
              <w:rPr>
                <w:sz w:val="24"/>
                <w:i/>
                <w:rFonts w:ascii="Times New Roman" w:hAnsi="Times New Roman"/>
              </w:rPr>
              <w:t xml:space="preserve">PD</w:t>
            </w:r>
            <w:r>
              <w:rPr>
                <w:sz w:val="24"/>
                <w:rFonts w:ascii="Times New Roman" w:hAnsi="Times New Roman"/>
              </w:rPr>
              <w:t xml:space="preserve"> aplēse par katru parādnieku, svērta ar riska darījumu vērtību pēc </w:t>
            </w:r>
            <w:r>
              <w:rPr>
                <w:sz w:val="24"/>
                <w:i/>
                <w:rFonts w:ascii="Times New Roman" w:hAnsi="Times New Roman"/>
              </w:rPr>
              <w:t xml:space="preserve">CCF</w:t>
            </w:r>
            <w:r>
              <w:rPr>
                <w:sz w:val="24"/>
                <w:rFonts w:ascii="Times New Roman" w:hAnsi="Times New Roman"/>
              </w:rPr>
              <w:t xml:space="preserve"> un kredītriska mazināšanas pasākumu piemērošanas, kā norādīts šīs veidnes e ailē.</w:t>
            </w:r>
          </w:p>
        </w:tc>
      </w:tr>
      <w:tr w:rsidR="009610E4" w:rsidRPr="009610E4" w14:paraId="114B33C3" w14:textId="77777777" w:rsidTr="60FDE7BB">
        <w:trPr>
          <w:trHeight w:val="316"/>
        </w:trPr>
        <w:tc>
          <w:tcPr>
            <w:tcW w:w="1555" w:type="dxa"/>
          </w:tcPr>
          <w:p w14:paraId="15EF8CF4" w14:textId="78532A1C" w:rsidR="00087388" w:rsidRPr="000A6489" w:rsidRDefault="00E643F5" w:rsidP="00725D4D">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f</w:t>
            </w:r>
          </w:p>
        </w:tc>
        <w:tc>
          <w:tcPr>
            <w:tcW w:w="7483" w:type="dxa"/>
          </w:tcPr>
          <w:p w14:paraId="0FCE60AF" w14:textId="77777777" w:rsidR="00087388" w:rsidRPr="009610E4" w:rsidRDefault="00087388" w:rsidP="00725D4D">
            <w:pPr>
              <w:autoSpaceDE w:val="0"/>
              <w:autoSpaceDN w:val="0"/>
              <w:adjustRightInd w:val="0"/>
              <w:spacing w:after="120"/>
              <w:rPr>
                <w:b/>
                <w:sz w:val="24"/>
                <w:rFonts w:ascii="Times New Roman" w:eastAsia="Times New Roman" w:hAnsi="Times New Roman" w:cs="Times New Roman"/>
              </w:rPr>
            </w:pPr>
            <w:r>
              <w:rPr>
                <w:b/>
                <w:sz w:val="24"/>
                <w:rFonts w:ascii="Times New Roman" w:hAnsi="Times New Roman"/>
              </w:rPr>
              <w:t xml:space="preserve">Parādnieku skaits</w:t>
            </w:r>
          </w:p>
          <w:p w14:paraId="0F085D67" w14:textId="6F6570A2" w:rsidR="00087388" w:rsidRPr="009610E4" w:rsidRDefault="00087388" w:rsidP="00725D4D">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To juridisko personu vai parādnieku skaits, kuri iedalīti katrā fiksētā </w:t>
            </w:r>
            <w:r>
              <w:rPr>
                <w:sz w:val="24"/>
                <w:i/>
                <w:rFonts w:ascii="Times New Roman" w:hAnsi="Times New Roman"/>
              </w:rPr>
              <w:t xml:space="preserve">PD</w:t>
            </w:r>
            <w:r>
              <w:rPr>
                <w:sz w:val="24"/>
                <w:rFonts w:ascii="Times New Roman" w:hAnsi="Times New Roman"/>
              </w:rPr>
              <w:t xml:space="preserve"> diapazona grupā un kuri novērtēti atsevišķi, neatkarīgi no dažādo piešķirto aizdevumu vai riska darījumu skaita.</w:t>
            </w:r>
          </w:p>
          <w:p w14:paraId="23AAE725" w14:textId="7CAFBF26" w:rsidR="00087388" w:rsidRPr="000A6489" w:rsidRDefault="00087388" w:rsidP="11F50173">
            <w:pPr>
              <w:spacing w:after="120"/>
              <w:jc w:val="both"/>
              <w:rPr>
                <w:b/>
                <w:bCs/>
                <w:sz w:val="24"/>
                <w:rFonts w:ascii="Times New Roman" w:hAnsi="Times New Roman" w:cs="Times New Roman"/>
              </w:rPr>
            </w:pPr>
            <w:r>
              <w:rPr>
                <w:sz w:val="24"/>
                <w:rFonts w:ascii="Times New Roman" w:hAnsi="Times New Roman"/>
              </w:rPr>
              <w:t xml:space="preserve">Kopparādniekus ņem vērā tāpat kā </w:t>
            </w:r>
            <w:r>
              <w:rPr>
                <w:sz w:val="24"/>
                <w:i/>
                <w:rFonts w:ascii="Times New Roman" w:hAnsi="Times New Roman"/>
              </w:rPr>
              <w:t xml:space="preserve">PD</w:t>
            </w:r>
            <w:r>
              <w:rPr>
                <w:sz w:val="24"/>
                <w:rFonts w:ascii="Times New Roman" w:hAnsi="Times New Roman"/>
              </w:rPr>
              <w:t xml:space="preserve"> kalibrācijas nolūkos.</w:t>
            </w:r>
            <w:r>
              <w:rPr>
                <w:sz w:val="24"/>
                <w:rFonts w:ascii="Times New Roman" w:hAnsi="Times New Roman"/>
              </w:rPr>
              <w:t xml:space="preserve"> </w:t>
            </w:r>
            <w:r>
              <w:rPr>
                <w:sz w:val="24"/>
                <w:rFonts w:ascii="Times New Roman" w:hAnsi="Times New Roman"/>
              </w:rPr>
              <w:t xml:space="preserve">Ja dažādus riska darījumus ar vienu un to pašu parādnieku novērtē atsevišķi, tos skaita atsevišķi.</w:t>
            </w:r>
            <w:r>
              <w:rPr>
                <w:sz w:val="24"/>
                <w:rFonts w:ascii="Times New Roman" w:hAnsi="Times New Roman"/>
              </w:rPr>
              <w:t xml:space="preserve"> </w:t>
            </w:r>
            <w:r>
              <w:rPr>
                <w:sz w:val="24"/>
                <w:rFonts w:ascii="Times New Roman" w:hAnsi="Times New Roman"/>
              </w:rPr>
              <w:t xml:space="preserve">Šāda situācija var rasties riska darījumu ar privātpersonām vai MVU kategorijā, ja saistību neizpildes definīciju piemēro atsevišķas kredītiespējas līmenī saskaņā ar Regulas (ES) Nr. 575/2013 178. panta 1. punkta pēdējo teikumu vai ja atsevišķi riska darījumi ar vienu un to pašu parādnieku tiek iedalīti dažādās parādnieku pakāpēs saskaņā ar Regulas (ES) Nr. 575/2013 172. panta 1. punkta e) apakšpunkta otro teikumu citās riska darījumu kategorijās.</w:t>
            </w:r>
          </w:p>
        </w:tc>
      </w:tr>
      <w:tr w:rsidR="009610E4" w:rsidRPr="009610E4" w14:paraId="7ACEEA2D" w14:textId="77777777" w:rsidTr="60FDE7BB">
        <w:trPr>
          <w:trHeight w:val="695"/>
        </w:trPr>
        <w:tc>
          <w:tcPr>
            <w:tcW w:w="1555" w:type="dxa"/>
          </w:tcPr>
          <w:p w14:paraId="6A0A92FB" w14:textId="36574F86" w:rsidR="00087388" w:rsidRPr="000A6489" w:rsidRDefault="00E643F5" w:rsidP="00725D4D">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g</w:t>
            </w:r>
          </w:p>
        </w:tc>
        <w:tc>
          <w:tcPr>
            <w:tcW w:w="7483" w:type="dxa"/>
          </w:tcPr>
          <w:p w14:paraId="7DB67358" w14:textId="77777777" w:rsidR="00087388" w:rsidRPr="009610E4" w:rsidRDefault="00087388" w:rsidP="00725D4D">
            <w:pPr>
              <w:pStyle w:val="Fait"/>
              <w:spacing w:before="0" w:after="120"/>
              <w:rPr>
                <w:b/>
              </w:rPr>
            </w:pPr>
            <w:r>
              <w:rPr>
                <w:b/>
              </w:rPr>
              <w:t xml:space="preserve">Riska darījumu svērtā vidējā </w:t>
            </w:r>
            <w:r>
              <w:rPr>
                <w:b/>
                <w:i/>
              </w:rPr>
              <w:t xml:space="preserve">LGD</w:t>
            </w:r>
            <w:r>
              <w:rPr>
                <w:b/>
              </w:rPr>
              <w:t xml:space="preserve"> (%)</w:t>
            </w:r>
          </w:p>
          <w:p w14:paraId="35AF9A0B" w14:textId="0C9ED78A" w:rsidR="00087388" w:rsidRPr="009610E4" w:rsidRDefault="00087388" w:rsidP="00725D4D">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Par visiem riska darījumiem, kas iekļauti katrā fiksētā </w:t>
            </w:r>
            <w:r>
              <w:rPr>
                <w:sz w:val="24"/>
                <w:i/>
                <w:rFonts w:ascii="Times New Roman" w:hAnsi="Times New Roman"/>
              </w:rPr>
              <w:t xml:space="preserve">PD</w:t>
            </w:r>
            <w:r>
              <w:rPr>
                <w:sz w:val="24"/>
                <w:rFonts w:ascii="Times New Roman" w:hAnsi="Times New Roman"/>
              </w:rPr>
              <w:t xml:space="preserve"> diapazona grupā, – vidējās LGD aplēses par katru riska darījumu, svērtas ar riska darījuma vērtību pēc </w:t>
            </w:r>
            <w:r>
              <w:rPr>
                <w:sz w:val="24"/>
                <w:i/>
                <w:rFonts w:ascii="Times New Roman" w:hAnsi="Times New Roman"/>
              </w:rPr>
              <w:t xml:space="preserve">CCF</w:t>
            </w:r>
            <w:r>
              <w:rPr>
                <w:sz w:val="24"/>
                <w:rFonts w:ascii="Times New Roman" w:hAnsi="Times New Roman"/>
              </w:rPr>
              <w:t xml:space="preserve"> un kredītriska mazināšanas pasākumu piemērošanas, kā norādīts šīs veidnes e ailē.</w:t>
            </w:r>
          </w:p>
          <w:p w14:paraId="322DD119" w14:textId="3B8EDC7F" w:rsidR="00087388" w:rsidRPr="009610E4" w:rsidRDefault="00087388" w:rsidP="11F50173">
            <w:pPr>
              <w:spacing w:after="120"/>
              <w:jc w:val="both"/>
              <w:rPr>
                <w:sz w:val="24"/>
                <w:rFonts w:ascii="Times New Roman" w:hAnsi="Times New Roman" w:cs="Times New Roman"/>
              </w:rPr>
            </w:pPr>
            <w:r>
              <w:rPr>
                <w:sz w:val="24"/>
                <w:rFonts w:ascii="Times New Roman" w:hAnsi="Times New Roman"/>
              </w:rPr>
              <w:t xml:space="preserve">Atklātie </w:t>
            </w:r>
            <w:r>
              <w:rPr>
                <w:sz w:val="24"/>
                <w:i/>
                <w:rFonts w:ascii="Times New Roman" w:hAnsi="Times New Roman"/>
              </w:rPr>
              <w:t xml:space="preserve">LGD</w:t>
            </w:r>
            <w:r>
              <w:rPr>
                <w:sz w:val="24"/>
                <w:rFonts w:ascii="Times New Roman" w:hAnsi="Times New Roman"/>
              </w:rPr>
              <w:t xml:space="preserve"> atbilst galīgajai </w:t>
            </w:r>
            <w:r>
              <w:rPr>
                <w:sz w:val="24"/>
                <w:i/>
                <w:rFonts w:ascii="Times New Roman" w:hAnsi="Times New Roman"/>
              </w:rPr>
              <w:t xml:space="preserve">LGD</w:t>
            </w:r>
            <w:r>
              <w:rPr>
                <w:sz w:val="24"/>
                <w:rFonts w:ascii="Times New Roman" w:hAnsi="Times New Roman"/>
              </w:rPr>
              <w:t xml:space="preserve"> aplēsei, kas izmantota, lai aprēķinātu riska svērtās summas, kuras iegūst pēc tam, kad attiecīgā gadījumā ir ņemta vērā riska mazināšanas pasākumu ietekme un lejupslīdes apstākļi.</w:t>
            </w:r>
            <w:r>
              <w:rPr>
                <w:sz w:val="24"/>
                <w:rFonts w:ascii="Times New Roman" w:hAnsi="Times New Roman"/>
              </w:rPr>
              <w:t xml:space="preserve"> </w:t>
            </w:r>
            <w:r>
              <w:rPr>
                <w:sz w:val="24"/>
                <w:rFonts w:ascii="Times New Roman" w:hAnsi="Times New Roman"/>
              </w:rPr>
              <w:t xml:space="preserve">Attiecībā uz riska darījumiem ar privātpersonām vai MVU, kas nodrošināti ar nekustamo īpašumu, atklātajā informācijā par </w:t>
            </w:r>
            <w:r>
              <w:rPr>
                <w:sz w:val="24"/>
                <w:i/>
                <w:rFonts w:ascii="Times New Roman" w:hAnsi="Times New Roman"/>
              </w:rPr>
              <w:t xml:space="preserve">LGD</w:t>
            </w:r>
            <w:r>
              <w:rPr>
                <w:sz w:val="24"/>
                <w:rFonts w:ascii="Times New Roman" w:hAnsi="Times New Roman"/>
              </w:rPr>
              <w:t xml:space="preserve"> ņem vērā Regulas (ES) Nr. 575/2013 164. panta 4. punktā norādītās minimālās robežvērtības.</w:t>
            </w:r>
          </w:p>
          <w:p w14:paraId="2D98E957" w14:textId="51EF9130" w:rsidR="00087388" w:rsidRPr="009610E4" w:rsidRDefault="00087388" w:rsidP="11F50173">
            <w:pPr>
              <w:spacing w:after="120"/>
              <w:jc w:val="both"/>
              <w:rPr>
                <w:sz w:val="24"/>
                <w:rFonts w:ascii="Times New Roman" w:hAnsi="Times New Roman" w:cs="Times New Roman"/>
              </w:rPr>
            </w:pPr>
            <w:r>
              <w:rPr>
                <w:sz w:val="24"/>
                <w:rFonts w:ascii="Times New Roman" w:hAnsi="Times New Roman"/>
              </w:rPr>
              <w:t xml:space="preserve">Attiecībā uz riska darījumiem, kuriem piemēro divkāršās saistību neizpildes procedūru, atklājamie </w:t>
            </w:r>
            <w:r>
              <w:rPr>
                <w:sz w:val="24"/>
                <w:i/>
                <w:rFonts w:ascii="Times New Roman" w:hAnsi="Times New Roman"/>
              </w:rPr>
              <w:t xml:space="preserve">LGD</w:t>
            </w:r>
            <w:r>
              <w:rPr>
                <w:sz w:val="24"/>
                <w:rFonts w:ascii="Times New Roman" w:hAnsi="Times New Roman"/>
              </w:rPr>
              <w:t xml:space="preserve"> atbilst tiem, kas izvēlēti saskaņā ar Regulas (ES) Nr. 575/2013 161. panta 4. punktu.</w:t>
            </w:r>
          </w:p>
          <w:p w14:paraId="1D3BC235" w14:textId="2591D8F8" w:rsidR="00087388" w:rsidRPr="000A6489" w:rsidRDefault="00087388" w:rsidP="11F50173">
            <w:pPr>
              <w:spacing w:after="120"/>
              <w:jc w:val="both"/>
              <w:rPr>
                <w:sz w:val="24"/>
                <w:rFonts w:ascii="Times New Roman" w:hAnsi="Times New Roman" w:cs="Times New Roman"/>
              </w:rPr>
            </w:pPr>
            <w:r>
              <w:rPr>
                <w:sz w:val="24"/>
                <w:rFonts w:ascii="Times New Roman" w:hAnsi="Times New Roman"/>
              </w:rPr>
              <w:t xml:space="preserve">Attiecībā uz riska darījumiem, kuros netiek pildītas saistības atbilstoši </w:t>
            </w:r>
            <w:r>
              <w:rPr>
                <w:sz w:val="24"/>
                <w:i/>
                <w:rFonts w:ascii="Times New Roman" w:hAnsi="Times New Roman"/>
              </w:rPr>
              <w:t xml:space="preserve">A-IRB</w:t>
            </w:r>
            <w:r>
              <w:rPr>
                <w:sz w:val="24"/>
                <w:rFonts w:ascii="Times New Roman" w:hAnsi="Times New Roman"/>
              </w:rPr>
              <w:t xml:space="preserve"> pieejai, ņem vērā Regulas (ES) Nr. 575/2013 181. panta 1. punkta h) apakšpunkta noteikumus.</w:t>
            </w:r>
            <w:r>
              <w:rPr>
                <w:sz w:val="24"/>
                <w:rFonts w:ascii="Times New Roman" w:hAnsi="Times New Roman"/>
              </w:rPr>
              <w:t xml:space="preserve"> </w:t>
            </w:r>
            <w:r>
              <w:rPr>
                <w:sz w:val="24"/>
                <w:rFonts w:ascii="Times New Roman" w:hAnsi="Times New Roman"/>
              </w:rPr>
              <w:t xml:space="preserve">Atklātie </w:t>
            </w:r>
            <w:r>
              <w:rPr>
                <w:sz w:val="24"/>
                <w:i/>
                <w:rFonts w:ascii="Times New Roman" w:hAnsi="Times New Roman"/>
              </w:rPr>
              <w:t xml:space="preserve">LGD</w:t>
            </w:r>
            <w:r>
              <w:rPr>
                <w:sz w:val="24"/>
                <w:rFonts w:ascii="Times New Roman" w:hAnsi="Times New Roman"/>
              </w:rPr>
              <w:t xml:space="preserve"> atbilst saistību neizpildes </w:t>
            </w:r>
            <w:r>
              <w:rPr>
                <w:sz w:val="24"/>
                <w:i/>
                <w:rFonts w:ascii="Times New Roman" w:hAnsi="Times New Roman"/>
              </w:rPr>
              <w:t xml:space="preserve">LGD</w:t>
            </w:r>
            <w:r>
              <w:rPr>
                <w:sz w:val="24"/>
                <w:rFonts w:ascii="Times New Roman" w:hAnsi="Times New Roman"/>
              </w:rPr>
              <w:t xml:space="preserve"> aplēsei saskaņā ar piemērojamām aplēšu metodēm.</w:t>
            </w:r>
          </w:p>
        </w:tc>
      </w:tr>
      <w:tr w:rsidR="009610E4" w:rsidRPr="009610E4" w14:paraId="3A4FB7CB" w14:textId="77777777" w:rsidTr="60FDE7BB">
        <w:trPr>
          <w:trHeight w:val="695"/>
        </w:trPr>
        <w:tc>
          <w:tcPr>
            <w:tcW w:w="1555" w:type="dxa"/>
          </w:tcPr>
          <w:p w14:paraId="5FDD1F99" w14:textId="3ABA492A" w:rsidR="00087388" w:rsidRPr="000A6489" w:rsidRDefault="00E643F5" w:rsidP="00725D4D">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h</w:t>
            </w:r>
          </w:p>
        </w:tc>
        <w:tc>
          <w:tcPr>
            <w:tcW w:w="7483" w:type="dxa"/>
          </w:tcPr>
          <w:p w14:paraId="4AE02F64" w14:textId="77777777" w:rsidR="00087388" w:rsidRPr="009610E4" w:rsidRDefault="00087388" w:rsidP="00725D4D">
            <w:pPr>
              <w:autoSpaceDE w:val="0"/>
              <w:autoSpaceDN w:val="0"/>
              <w:adjustRightInd w:val="0"/>
              <w:spacing w:after="120"/>
              <w:jc w:val="both"/>
              <w:rPr>
                <w:b/>
                <w:sz w:val="24"/>
                <w:rFonts w:ascii="Times New Roman" w:eastAsia="Times New Roman" w:hAnsi="Times New Roman" w:cs="Times New Roman"/>
              </w:rPr>
            </w:pPr>
            <w:r>
              <w:rPr>
                <w:b/>
                <w:sz w:val="24"/>
                <w:rFonts w:ascii="Times New Roman" w:hAnsi="Times New Roman"/>
              </w:rPr>
              <w:t xml:space="preserve">Riska darījumu svērtais vidējais termiņš (gadi)</w:t>
            </w:r>
          </w:p>
          <w:p w14:paraId="5F0587B5" w14:textId="1AA6D946" w:rsidR="00087388" w:rsidRPr="009610E4" w:rsidRDefault="00087388" w:rsidP="00725D4D">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Par visiem riska darījumiem, kas iekļauti katrā fiksētā </w:t>
            </w:r>
            <w:r>
              <w:rPr>
                <w:sz w:val="24"/>
                <w:i/>
                <w:rFonts w:ascii="Times New Roman" w:hAnsi="Times New Roman"/>
              </w:rPr>
              <w:t xml:space="preserve">PD</w:t>
            </w:r>
            <w:r>
              <w:rPr>
                <w:sz w:val="24"/>
                <w:rFonts w:ascii="Times New Roman" w:hAnsi="Times New Roman"/>
              </w:rPr>
              <w:t xml:space="preserve"> diapazona grupā, – katra riska darījuma vidējais termiņš, kas svērts ar riska darījuma vērtību pēc </w:t>
            </w:r>
            <w:r>
              <w:rPr>
                <w:sz w:val="24"/>
                <w:i/>
                <w:rFonts w:ascii="Times New Roman" w:hAnsi="Times New Roman"/>
              </w:rPr>
              <w:t xml:space="preserve">CCF</w:t>
            </w:r>
            <w:r>
              <w:rPr>
                <w:sz w:val="24"/>
                <w:rFonts w:ascii="Times New Roman" w:hAnsi="Times New Roman"/>
              </w:rPr>
              <w:t xml:space="preserve"> piemērošanas, kā norādīts šīs veidnes e ailē.</w:t>
            </w:r>
          </w:p>
          <w:p w14:paraId="0B4B4311" w14:textId="3775C18C" w:rsidR="00087388" w:rsidRPr="009610E4" w:rsidRDefault="00087388" w:rsidP="11F50173">
            <w:pPr>
              <w:spacing w:after="120"/>
              <w:rPr>
                <w:sz w:val="24"/>
                <w:rFonts w:ascii="Times New Roman" w:hAnsi="Times New Roman" w:cs="Times New Roman"/>
              </w:rPr>
            </w:pPr>
            <w:r>
              <w:rPr>
                <w:sz w:val="24"/>
                <w:rFonts w:ascii="Times New Roman" w:hAnsi="Times New Roman"/>
              </w:rPr>
              <w:t xml:space="preserve">Atklātā termiņa vērtība atspoguļo Regulas (ES) Nr. 575/2013 162. pantu.</w:t>
            </w:r>
            <w:r>
              <w:rPr>
                <w:sz w:val="24"/>
                <w:rFonts w:ascii="Times New Roman" w:hAnsi="Times New Roman"/>
              </w:rPr>
              <w:t xml:space="preserve"> </w:t>
            </w:r>
          </w:p>
          <w:p w14:paraId="3D7CEB78" w14:textId="77777777" w:rsidR="00087388" w:rsidRPr="009610E4" w:rsidRDefault="00087388" w:rsidP="00725D4D">
            <w:pPr>
              <w:spacing w:after="120"/>
              <w:rPr>
                <w:sz w:val="24"/>
                <w:rFonts w:ascii="Times New Roman" w:hAnsi="Times New Roman" w:cs="Times New Roman"/>
              </w:rPr>
            </w:pPr>
            <w:r>
              <w:rPr>
                <w:sz w:val="24"/>
                <w:rFonts w:ascii="Times New Roman" w:hAnsi="Times New Roman"/>
              </w:rPr>
              <w:t xml:space="preserve">Vidējo termiņu norāda gados.</w:t>
            </w:r>
          </w:p>
          <w:p w14:paraId="5D1C7074" w14:textId="51C2EDCB" w:rsidR="00087388" w:rsidRPr="000A6489" w:rsidRDefault="00087388" w:rsidP="63E31B68">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Šos datus neatklāj attiecībā uz riska darījumu vērtībām, kurās termiņš nav </w:t>
            </w:r>
            <w:r>
              <w:rPr>
                <w:sz w:val="24"/>
                <w:rStyle w:val="InstructionsTabelleText"/>
                <w:rFonts w:ascii="Times New Roman" w:hAnsi="Times New Roman"/>
              </w:rPr>
              <w:t xml:space="preserve">riska darījumu riska svērto vērtību</w:t>
            </w:r>
            <w:r>
              <w:rPr>
                <w:sz w:val="24"/>
                <w:rFonts w:ascii="Times New Roman" w:hAnsi="Times New Roman"/>
              </w:rPr>
              <w:t xml:space="preserve"> aprēķina elements saskaņā ar Regulas (ES) Nr. 575/2013 trešās daļas II sadaļas 3. nodaļu.</w:t>
            </w:r>
            <w:r>
              <w:rPr>
                <w:sz w:val="24"/>
                <w:rFonts w:ascii="Times New Roman" w:hAnsi="Times New Roman"/>
              </w:rPr>
              <w:t xml:space="preserve"> </w:t>
            </w:r>
            <w:r>
              <w:rPr>
                <w:sz w:val="24"/>
                <w:rFonts w:ascii="Times New Roman" w:hAnsi="Times New Roman"/>
              </w:rPr>
              <w:t xml:space="preserve">Tas nozīmē, ka šo aili neaizpilda par riska darījumu kategoriju “Privātpersonas vai MVU”.</w:t>
            </w:r>
          </w:p>
        </w:tc>
      </w:tr>
      <w:tr w:rsidR="009610E4" w:rsidRPr="009610E4" w14:paraId="4C616055" w14:textId="77777777" w:rsidTr="60FDE7BB">
        <w:trPr>
          <w:trHeight w:val="695"/>
        </w:trPr>
        <w:tc>
          <w:tcPr>
            <w:tcW w:w="1555" w:type="dxa"/>
          </w:tcPr>
          <w:p w14:paraId="3886062F" w14:textId="61A30A29" w:rsidR="00087388" w:rsidRPr="009610E4" w:rsidDel="00F079B2" w:rsidRDefault="00E643F5" w:rsidP="00725D4D">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i</w:t>
            </w:r>
          </w:p>
        </w:tc>
        <w:tc>
          <w:tcPr>
            <w:tcW w:w="7483" w:type="dxa"/>
          </w:tcPr>
          <w:p w14:paraId="10CC1622" w14:textId="77777777" w:rsidR="00087388" w:rsidRPr="009610E4" w:rsidRDefault="00087388" w:rsidP="00725D4D">
            <w:pPr>
              <w:autoSpaceDE w:val="0"/>
              <w:autoSpaceDN w:val="0"/>
              <w:adjustRightInd w:val="0"/>
              <w:spacing w:after="120"/>
              <w:jc w:val="both"/>
              <w:rPr>
                <w:b/>
                <w:sz w:val="24"/>
                <w:rFonts w:ascii="Times New Roman" w:eastAsia="Times New Roman" w:hAnsi="Times New Roman" w:cs="Times New Roman"/>
              </w:rPr>
            </w:pPr>
            <w:r>
              <w:rPr>
                <w:b/>
                <w:sz w:val="24"/>
                <w:rFonts w:ascii="Times New Roman" w:hAnsi="Times New Roman"/>
              </w:rPr>
              <w:t xml:space="preserve">Riska darījumu riska svērtā vērtība pēc atbalsta faktoriem</w:t>
            </w:r>
          </w:p>
          <w:p w14:paraId="32F4737E" w14:textId="48C5AF52" w:rsidR="00087388" w:rsidRPr="009610E4" w:rsidRDefault="00087388" w:rsidP="11F50173">
            <w:pPr>
              <w:spacing w:after="120"/>
              <w:jc w:val="both"/>
              <w:rPr>
                <w:sz w:val="24"/>
                <w:rFonts w:ascii="Times New Roman" w:eastAsia="Times New Roman" w:hAnsi="Times New Roman" w:cs="Times New Roman"/>
              </w:rPr>
            </w:pPr>
            <w:r>
              <w:rPr>
                <w:sz w:val="24"/>
                <w:rFonts w:ascii="Times New Roman" w:hAnsi="Times New Roman"/>
              </w:rPr>
              <w:t xml:space="preserve">Attiecībā uz riska darījumiem ar centrālajām valdībām un centrālajām bankām, iestādēm un komercsabiedrībām – riska darījumu riska svērtā vērtība, kas aprēķināta saskaņā ar Regulas (ES) Nr. 575/2013 153. panta 1.–4. punktu;</w:t>
            </w:r>
            <w:r>
              <w:rPr>
                <w:sz w:val="24"/>
                <w:rFonts w:ascii="Times New Roman" w:hAnsi="Times New Roman"/>
              </w:rPr>
              <w:t xml:space="preserve"> </w:t>
            </w:r>
            <w:r>
              <w:rPr>
                <w:sz w:val="24"/>
                <w:rFonts w:ascii="Times New Roman" w:hAnsi="Times New Roman"/>
              </w:rPr>
              <w:t xml:space="preserve">attiecībā uz riska darījumiem ar privātpersonām vai MVU – riska darījumu riska svērtā vērtība, kas aprēķināta saskaņā ar Regulas (ES) Nr. 575/2013 154. pantu.</w:t>
            </w:r>
          </w:p>
          <w:p w14:paraId="2EAE4CC0" w14:textId="10DBF653" w:rsidR="00087388" w:rsidRPr="009610E4" w:rsidRDefault="00087388" w:rsidP="11F50173">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Ņem vērā MVU un infrastruktūras atbalsta faktorus saskaņā ar Regulas (ES) Nr. 575/2013 501. un 501.a pantu.</w:t>
            </w:r>
            <w:r>
              <w:rPr>
                <w:sz w:val="24"/>
                <w:rFonts w:ascii="Times New Roman" w:hAnsi="Times New Roman"/>
              </w:rPr>
              <w:t xml:space="preserve"> </w:t>
            </w:r>
          </w:p>
        </w:tc>
      </w:tr>
      <w:tr w:rsidR="00087388" w:rsidRPr="00F1728C" w14:paraId="41B76A0A" w14:textId="77777777" w:rsidTr="60FDE7BB">
        <w:trPr>
          <w:trHeight w:val="695"/>
        </w:trPr>
        <w:tc>
          <w:tcPr>
            <w:tcW w:w="1555" w:type="dxa"/>
          </w:tcPr>
          <w:p w14:paraId="3BF6AD36" w14:textId="61857C15" w:rsidR="00087388" w:rsidRPr="000A6489" w:rsidRDefault="00E643F5" w:rsidP="00725D4D">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j</w:t>
            </w:r>
          </w:p>
        </w:tc>
        <w:tc>
          <w:tcPr>
            <w:tcW w:w="7483" w:type="dxa"/>
          </w:tcPr>
          <w:p w14:paraId="254CED4A" w14:textId="77777777" w:rsidR="00087388" w:rsidRPr="00F1728C" w:rsidRDefault="00087388" w:rsidP="00725D4D">
            <w:pPr>
              <w:autoSpaceDE w:val="0"/>
              <w:autoSpaceDN w:val="0"/>
              <w:adjustRightInd w:val="0"/>
              <w:spacing w:after="120"/>
              <w:jc w:val="both"/>
              <w:rPr>
                <w:sz w:val="24"/>
                <w:rFonts w:ascii="Times New Roman" w:hAnsi="Times New Roman" w:cs="Times New Roman"/>
              </w:rPr>
            </w:pPr>
            <w:r>
              <w:rPr>
                <w:b/>
                <w:sz w:val="24"/>
                <w:rFonts w:ascii="Times New Roman" w:hAnsi="Times New Roman"/>
              </w:rPr>
              <w:t xml:space="preserve">Riska darījumu riska svērto vērtību blīvums</w:t>
            </w:r>
          </w:p>
          <w:p w14:paraId="0A097DB5" w14:textId="391BAC06" w:rsidR="00087388" w:rsidRPr="000A6489" w:rsidRDefault="00087388" w:rsidP="00725D4D">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Attiecība starp riska darījumu riska svērto vērtību summu pēc atbalsta faktoriem, kā norādīts šīs veidnes i ailē, un riska darījumu vērtību, kā norādīts šīs veidnes d ailē.</w:t>
            </w:r>
          </w:p>
        </w:tc>
      </w:tr>
      <w:tr w:rsidR="009610E4" w:rsidRPr="009610E4" w14:paraId="3554034A" w14:textId="77777777" w:rsidTr="60FDE7BB">
        <w:trPr>
          <w:trHeight w:val="695"/>
        </w:trPr>
        <w:tc>
          <w:tcPr>
            <w:tcW w:w="1555" w:type="dxa"/>
          </w:tcPr>
          <w:p w14:paraId="201627B3" w14:textId="7AB25CBD" w:rsidR="00087388" w:rsidRPr="000A6489" w:rsidRDefault="00E643F5" w:rsidP="00725D4D">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k</w:t>
            </w:r>
          </w:p>
        </w:tc>
        <w:tc>
          <w:tcPr>
            <w:tcW w:w="7483" w:type="dxa"/>
          </w:tcPr>
          <w:p w14:paraId="2480350D" w14:textId="77777777" w:rsidR="00087388" w:rsidRPr="009610E4" w:rsidRDefault="00087388" w:rsidP="00725D4D">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Paredzamo zaudējumu apmērs</w:t>
            </w:r>
          </w:p>
          <w:p w14:paraId="3F5BAB26" w14:textId="0F956916" w:rsidR="00087388" w:rsidRPr="009610E4" w:rsidRDefault="00087388" w:rsidP="11F50173">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Paredzamo zaudējumu apmērs, kas aprēķināts saskaņā ar Regulas (ES) Nr. 575/2013 158. pantu.</w:t>
            </w:r>
          </w:p>
          <w:p w14:paraId="04447CFA" w14:textId="77777777" w:rsidR="00087388" w:rsidRPr="000A6489" w:rsidRDefault="00087388" w:rsidP="00725D4D">
            <w:pPr>
              <w:autoSpaceDE w:val="0"/>
              <w:autoSpaceDN w:val="0"/>
              <w:adjustRightInd w:val="0"/>
              <w:spacing w:after="120"/>
              <w:rPr>
                <w:b/>
                <w:sz w:val="24"/>
                <w:rFonts w:ascii="Times New Roman" w:hAnsi="Times New Roman" w:cs="Times New Roman"/>
              </w:rPr>
            </w:pPr>
            <w:r>
              <w:rPr>
                <w:sz w:val="24"/>
                <w:rFonts w:ascii="Times New Roman" w:hAnsi="Times New Roman"/>
              </w:rPr>
              <w:t xml:space="preserve">Atklājamais paredzamo zaudējumu apmērs ir balstīts uz iekšējo reitingu sistēmā izmantotajiem faktiskajiem riska parametriem, ko apstiprinājusi attiecīgā kompetentā iestāde.</w:t>
            </w:r>
          </w:p>
        </w:tc>
      </w:tr>
      <w:tr w:rsidR="009610E4" w:rsidRPr="009610E4" w14:paraId="48A866E0" w14:textId="77777777" w:rsidTr="60FDE7BB">
        <w:trPr>
          <w:trHeight w:val="695"/>
        </w:trPr>
        <w:tc>
          <w:tcPr>
            <w:tcW w:w="1555" w:type="dxa"/>
          </w:tcPr>
          <w:p w14:paraId="748633DD" w14:textId="400B9BCC" w:rsidR="00087388" w:rsidRPr="000A6489" w:rsidRDefault="00E643F5" w:rsidP="00725D4D">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l.</w:t>
            </w:r>
          </w:p>
        </w:tc>
        <w:tc>
          <w:tcPr>
            <w:tcW w:w="7483" w:type="dxa"/>
          </w:tcPr>
          <w:p w14:paraId="671BD8C8" w14:textId="77777777" w:rsidR="00087388" w:rsidRPr="009610E4" w:rsidRDefault="00087388" w:rsidP="00725D4D">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Vērtības korekcijas un uzkrājumi</w:t>
            </w:r>
          </w:p>
          <w:p w14:paraId="1A7911DD" w14:textId="3912BE77" w:rsidR="00087388" w:rsidRPr="009610E4" w:rsidRDefault="00087388" w:rsidP="11F50173">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Specifiskās un vispārējās kredītriska korekcijas saskaņā ar Komisijas deleģēto regulu (ES) Nr. 183/2014</w:t>
            </w:r>
            <w:r w:rsidRPr="000A6489">
              <w:rPr>
                <w:rStyle w:val="FootnoteReference"/>
                <w:rFonts w:ascii="Times New Roman" w:hAnsi="Times New Roman" w:cs="Times New Roman"/>
              </w:rPr>
              <w:footnoteReference w:id="2"/>
            </w:r>
            <w:r>
              <w:rPr>
                <w:sz w:val="24"/>
                <w:rFonts w:ascii="Times New Roman" w:hAnsi="Times New Roman"/>
              </w:rPr>
              <w:t xml:space="preserve">, papildu vērtības korekcijas saskaņā ar Regulas (ES) Nr. 575/2013 34. un 110. pantu, kā arī citi pašu kapitāla samazinājumi, kas saistīti ar riska darījumiem, kuri iedalīti katrā fiksētā </w:t>
            </w:r>
            <w:r>
              <w:rPr>
                <w:sz w:val="24"/>
                <w:i/>
                <w:rFonts w:ascii="Times New Roman" w:hAnsi="Times New Roman"/>
              </w:rPr>
              <w:t xml:space="preserve">PD</w:t>
            </w:r>
            <w:r>
              <w:rPr>
                <w:sz w:val="24"/>
                <w:rFonts w:ascii="Times New Roman" w:hAnsi="Times New Roman"/>
              </w:rPr>
              <w:t xml:space="preserve"> diapazona grupā.</w:t>
            </w:r>
          </w:p>
          <w:p w14:paraId="467B4F4E" w14:textId="0D254CBE" w:rsidR="00087388" w:rsidRPr="009610E4" w:rsidRDefault="00087388" w:rsidP="11F50173">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Šīs vērtības korekcijas un uzkrājumi ir tie, kas ņemti vērā Regulas (ES) Nr. 575/2013 159. panta piemērošanas nolūkos.</w:t>
            </w:r>
            <w:r>
              <w:rPr>
                <w:sz w:val="24"/>
                <w:rFonts w:ascii="Times New Roman" w:hAnsi="Times New Roman"/>
              </w:rPr>
              <w:t xml:space="preserve"> </w:t>
            </w:r>
          </w:p>
          <w:p w14:paraId="588D9146" w14:textId="77777777" w:rsidR="00087388" w:rsidRPr="009610E4" w:rsidRDefault="00087388" w:rsidP="00725D4D">
            <w:pPr>
              <w:autoSpaceDE w:val="0"/>
              <w:autoSpaceDN w:val="0"/>
              <w:adjustRightInd w:val="0"/>
              <w:spacing w:after="120"/>
              <w:jc w:val="both"/>
              <w:rPr>
                <w:b/>
                <w:sz w:val="24"/>
                <w:rFonts w:ascii="Times New Roman" w:hAnsi="Times New Roman" w:cs="Times New Roman"/>
              </w:rPr>
            </w:pPr>
            <w:r>
              <w:rPr>
                <w:sz w:val="24"/>
                <w:rFonts w:ascii="Times New Roman" w:hAnsi="Times New Roman"/>
              </w:rPr>
              <w:t xml:space="preserve">Vispārējos uzkrājumus atklāj, summu proporcionāli iedalot saskaņā ar dažādo parādnieku kategoriju paredzamajiem zaudējumiem.</w:t>
            </w:r>
          </w:p>
        </w:tc>
      </w:tr>
    </w:tbl>
    <w:p w14:paraId="0D0B940D" w14:textId="77777777" w:rsidR="00087388" w:rsidRPr="00F1728C" w:rsidRDefault="00087388" w:rsidP="00087388">
      <w:pPr>
        <w:spacing w:after="120"/>
        <w:rPr>
          <w:rFonts w:ascii="Times New Roman" w:hAnsi="Times New Roman" w:cs="Times New Roman"/>
          <w:sz w:val="24"/>
        </w:rPr>
      </w:pPr>
    </w:p>
    <w:p w14:paraId="0E27B00A" w14:textId="77777777" w:rsidR="00087388" w:rsidRPr="000A6489" w:rsidRDefault="00087388" w:rsidP="00087388">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7484"/>
      </w:tblGrid>
      <w:tr w:rsidR="00087388" w:rsidRPr="00F1728C" w14:paraId="2E633EEF" w14:textId="77777777" w:rsidTr="11F50173">
        <w:trPr>
          <w:trHeight w:val="90"/>
        </w:trPr>
        <w:tc>
          <w:tcPr>
            <w:tcW w:w="1555" w:type="dxa"/>
            <w:vMerge w:val="restart"/>
            <w:tcBorders>
              <w:top w:val="single" w:sz="4" w:space="0" w:color="auto"/>
              <w:left w:val="single" w:sz="4" w:space="0" w:color="auto"/>
              <w:right w:val="single" w:sz="4" w:space="0" w:color="auto"/>
            </w:tcBorders>
            <w:shd w:val="clear" w:color="auto" w:fill="D9D9D9" w:themeFill="background1" w:themeFillShade="D9"/>
          </w:tcPr>
          <w:p w14:paraId="40F8FCF1" w14:textId="77777777" w:rsidR="00087388" w:rsidRPr="00F1728C" w:rsidRDefault="00087388" w:rsidP="00725D4D">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Atsauce uz rindu</w:t>
            </w:r>
          </w:p>
        </w:tc>
        <w:tc>
          <w:tcPr>
            <w:tcW w:w="74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B17608" w14:textId="77777777" w:rsidR="00087388" w:rsidRPr="00F1728C" w:rsidRDefault="00087388" w:rsidP="00725D4D">
            <w:pPr>
              <w:spacing w:after="120"/>
              <w:rPr>
                <w:b/>
                <w:sz w:val="24"/>
                <w:rFonts w:ascii="Times New Roman" w:hAnsi="Times New Roman" w:cs="Times New Roman"/>
              </w:rPr>
            </w:pPr>
            <w:r>
              <w:rPr>
                <w:b/>
                <w:sz w:val="24"/>
                <w:rFonts w:ascii="Times New Roman" w:hAnsi="Times New Roman"/>
              </w:rPr>
              <w:t xml:space="preserve">Atsauces uz tiesību aktiem un norādījumi</w:t>
            </w:r>
          </w:p>
        </w:tc>
      </w:tr>
      <w:tr w:rsidR="00087388" w:rsidRPr="00F1728C" w14:paraId="55527BB7" w14:textId="77777777" w:rsidTr="11F50173">
        <w:trPr>
          <w:trHeight w:val="238"/>
        </w:trPr>
        <w:tc>
          <w:tcPr>
            <w:tcW w:w="1555" w:type="dxa"/>
            <w:vMerge/>
          </w:tcPr>
          <w:p w14:paraId="60061E4C"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484" w:type="dxa"/>
            <w:tcBorders>
              <w:left w:val="single" w:sz="4" w:space="0" w:color="auto"/>
            </w:tcBorders>
            <w:shd w:val="clear" w:color="auto" w:fill="D9D9D9" w:themeFill="background1" w:themeFillShade="D9"/>
          </w:tcPr>
          <w:p w14:paraId="0B0A2FF6" w14:textId="77777777" w:rsidR="00087388" w:rsidRPr="00F1728C" w:rsidRDefault="00087388" w:rsidP="00725D4D">
            <w:pPr>
              <w:autoSpaceDE w:val="0"/>
              <w:autoSpaceDN w:val="0"/>
              <w:adjustRightInd w:val="0"/>
              <w:spacing w:after="120"/>
              <w:rPr>
                <w:color w:val="000000"/>
                <w:sz w:val="24"/>
                <w:rFonts w:ascii="Times New Roman" w:hAnsi="Times New Roman" w:cs="Times New Roman"/>
              </w:rPr>
            </w:pPr>
            <w:r>
              <w:rPr>
                <w:b/>
                <w:sz w:val="24"/>
                <w:rFonts w:ascii="Times New Roman" w:hAnsi="Times New Roman"/>
              </w:rPr>
              <w:t xml:space="preserve">Paskaidrojums</w:t>
            </w:r>
          </w:p>
        </w:tc>
      </w:tr>
      <w:tr w:rsidR="00087388" w:rsidRPr="00F1728C" w14:paraId="0683DB1D" w14:textId="77777777" w:rsidTr="11F50173">
        <w:trPr>
          <w:trHeight w:val="1601"/>
        </w:trPr>
        <w:tc>
          <w:tcPr>
            <w:tcW w:w="1555" w:type="dxa"/>
          </w:tcPr>
          <w:p w14:paraId="25D2174C" w14:textId="77777777" w:rsidR="00087388" w:rsidRPr="000A6489" w:rsidRDefault="00087388" w:rsidP="00725D4D">
            <w:pPr>
              <w:spacing w:after="120"/>
              <w:jc w:val="both"/>
              <w:rPr>
                <w:bCs/>
                <w:sz w:val="24"/>
                <w:rFonts w:ascii="Times New Roman" w:hAnsi="Times New Roman" w:cs="Times New Roman"/>
              </w:rPr>
            </w:pPr>
            <w:r>
              <w:rPr>
                <w:sz w:val="24"/>
                <w:rFonts w:ascii="Times New Roman" w:hAnsi="Times New Roman"/>
              </w:rPr>
              <w:t xml:space="preserve">Riska darījumu kategorija X</w:t>
            </w:r>
          </w:p>
          <w:p w14:paraId="44EAFD9C"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p>
        </w:tc>
        <w:tc>
          <w:tcPr>
            <w:tcW w:w="7484" w:type="dxa"/>
          </w:tcPr>
          <w:p w14:paraId="1B9A966C" w14:textId="7E0DB493" w:rsidR="00087388" w:rsidRPr="00F1728C" w:rsidRDefault="01E22573" w:rsidP="0F62C19C">
            <w:pPr>
              <w:spacing w:after="120"/>
              <w:jc w:val="both"/>
              <w:rPr>
                <w:sz w:val="24"/>
                <w:rFonts w:ascii="Times New Roman" w:hAnsi="Times New Roman" w:cs="Times New Roman"/>
              </w:rPr>
            </w:pPr>
            <w:r>
              <w:rPr>
                <w:sz w:val="24"/>
                <w:rFonts w:ascii="Times New Roman" w:hAnsi="Times New Roman"/>
              </w:rPr>
              <w:t xml:space="preserve">Ja iestādes ir saņēmušas atļauju izmantot savas </w:t>
            </w:r>
            <w:r>
              <w:rPr>
                <w:sz w:val="24"/>
                <w:i/>
                <w:rFonts w:ascii="Times New Roman" w:hAnsi="Times New Roman"/>
              </w:rPr>
              <w:t xml:space="preserve">LGD</w:t>
            </w:r>
            <w:r>
              <w:rPr>
                <w:sz w:val="24"/>
                <w:rFonts w:ascii="Times New Roman" w:hAnsi="Times New Roman"/>
              </w:rPr>
              <w:t xml:space="preserve"> aplēses un korekcijas pakāpes riska darījumu riska svērto vērtību aprēķināšanai, tās atklāj šajā veidnē prasīto informāciju atsevišķi par katru riska darījumu kategoriju, kurai piemērojama šī atļauja (</w:t>
            </w:r>
            <w:r>
              <w:rPr>
                <w:sz w:val="24"/>
                <w:i/>
                <w:rFonts w:ascii="Times New Roman" w:hAnsi="Times New Roman"/>
              </w:rPr>
              <w:t xml:space="preserve">A-IRB</w:t>
            </w:r>
            <w:r>
              <w:rPr>
                <w:sz w:val="24"/>
                <w:rFonts w:ascii="Times New Roman" w:hAnsi="Times New Roman"/>
              </w:rPr>
              <w:t xml:space="preserve">).</w:t>
            </w:r>
            <w:r>
              <w:rPr>
                <w:sz w:val="24"/>
                <w:rFonts w:ascii="Times New Roman" w:hAnsi="Times New Roman"/>
              </w:rPr>
              <w:t xml:space="preserve"> </w:t>
            </w:r>
            <w:r>
              <w:rPr>
                <w:sz w:val="24"/>
                <w:rFonts w:ascii="Times New Roman" w:hAnsi="Times New Roman"/>
              </w:rPr>
              <w:t xml:space="preserve">Attiecībā uz riska darījumu kategorijām, par kurām iestādei nav atļaujas izmantot savas </w:t>
            </w:r>
            <w:r>
              <w:rPr>
                <w:sz w:val="24"/>
                <w:i/>
                <w:rFonts w:ascii="Times New Roman" w:hAnsi="Times New Roman"/>
              </w:rPr>
              <w:t xml:space="preserve">LGD</w:t>
            </w:r>
            <w:r>
              <w:rPr>
                <w:sz w:val="24"/>
                <w:rFonts w:ascii="Times New Roman" w:hAnsi="Times New Roman"/>
              </w:rPr>
              <w:t xml:space="preserve"> aplēses un korekcijas pakāpes (</w:t>
            </w:r>
            <w:r>
              <w:rPr>
                <w:sz w:val="24"/>
                <w:i/>
                <w:rFonts w:ascii="Times New Roman" w:hAnsi="Times New Roman"/>
              </w:rPr>
              <w:t xml:space="preserve">F-IRB</w:t>
            </w:r>
            <w:r>
              <w:rPr>
                <w:sz w:val="24"/>
                <w:rFonts w:ascii="Times New Roman" w:hAnsi="Times New Roman"/>
              </w:rPr>
              <w:t xml:space="preserve">), iestāde atklāj informāciju par attiecīgajiem riska darījumiem atsevišķi, izmantojot veidni F-IRB.</w:t>
            </w:r>
            <w:r>
              <w:rPr>
                <w:sz w:val="24"/>
                <w:rFonts w:ascii="Times New Roman" w:hAnsi="Times New Roman"/>
              </w:rPr>
              <w:t xml:space="preserve"> </w:t>
            </w:r>
            <w:r>
              <w:rPr>
                <w:sz w:val="24"/>
                <w:rFonts w:ascii="Times New Roman" w:hAnsi="Times New Roman"/>
              </w:rPr>
              <w:t xml:space="preserve">Sīkāku informāciju par riska darījumu kategorijām sk. veidnes EU CR7 – </w:t>
            </w:r>
            <w:r>
              <w:rPr>
                <w:sz w:val="24"/>
                <w:i/>
                <w:rFonts w:ascii="Times New Roman" w:hAnsi="Times New Roman"/>
              </w:rPr>
              <w:t xml:space="preserve">IRB</w:t>
            </w:r>
            <w:r>
              <w:rPr>
                <w:sz w:val="24"/>
                <w:rFonts w:ascii="Times New Roman" w:hAnsi="Times New Roman"/>
              </w:rPr>
              <w:t xml:space="preserve"> pieeja – norādījumos.</w:t>
            </w:r>
          </w:p>
        </w:tc>
      </w:tr>
      <w:tr w:rsidR="009610E4" w:rsidRPr="009610E4" w14:paraId="4D85411B" w14:textId="77777777" w:rsidTr="11F50173">
        <w:trPr>
          <w:trHeight w:val="1124"/>
        </w:trPr>
        <w:tc>
          <w:tcPr>
            <w:tcW w:w="1555" w:type="dxa"/>
          </w:tcPr>
          <w:p w14:paraId="78D7738C" w14:textId="77777777" w:rsidR="00087388" w:rsidRPr="000A6489" w:rsidRDefault="00087388" w:rsidP="00725D4D">
            <w:pPr>
              <w:autoSpaceDE w:val="0"/>
              <w:autoSpaceDN w:val="0"/>
              <w:adjustRightInd w:val="0"/>
              <w:spacing w:after="120"/>
              <w:jc w:val="both"/>
              <w:rPr>
                <w:sz w:val="24"/>
                <w:rFonts w:ascii="Times New Roman" w:hAnsi="Times New Roman" w:cs="Times New Roman"/>
              </w:rPr>
            </w:pPr>
            <w:r>
              <w:rPr>
                <w:sz w:val="24"/>
                <w:i/>
                <w:rFonts w:ascii="Times New Roman" w:hAnsi="Times New Roman"/>
              </w:rPr>
              <w:t xml:space="preserve">A-IRB</w:t>
            </w:r>
          </w:p>
        </w:tc>
        <w:tc>
          <w:tcPr>
            <w:tcW w:w="7484" w:type="dxa"/>
          </w:tcPr>
          <w:p w14:paraId="516F4E04" w14:textId="77777777" w:rsidR="00087388" w:rsidRPr="009610E4" w:rsidRDefault="00087388" w:rsidP="00725D4D">
            <w:pPr>
              <w:spacing w:after="120"/>
              <w:jc w:val="both"/>
              <w:rPr>
                <w:sz w:val="24"/>
                <w:rFonts w:ascii="Times New Roman" w:hAnsi="Times New Roman" w:cs="Times New Roman"/>
              </w:rPr>
            </w:pPr>
            <w:r>
              <w:rPr>
                <w:b/>
                <w:sz w:val="24"/>
                <w:rFonts w:ascii="Times New Roman" w:hAnsi="Times New Roman"/>
              </w:rPr>
              <w:t xml:space="preserve">Riska darījumu kategorija X</w:t>
            </w:r>
          </w:p>
          <w:p w14:paraId="593ACEDE" w14:textId="77B9CA25" w:rsidR="009C2B0F" w:rsidRPr="009610E4" w:rsidRDefault="00087388" w:rsidP="11F50173">
            <w:pPr>
              <w:spacing w:after="120"/>
              <w:jc w:val="both"/>
              <w:rPr>
                <w:sz w:val="24"/>
                <w:rFonts w:ascii="Times New Roman" w:eastAsia="Times New Roman" w:hAnsi="Times New Roman" w:cs="Times New Roman"/>
              </w:rPr>
            </w:pPr>
            <w:r>
              <w:rPr>
                <w:sz w:val="24"/>
                <w:rFonts w:ascii="Times New Roman" w:hAnsi="Times New Roman"/>
              </w:rPr>
              <w:t xml:space="preserve">Par katru riska darījumu kategoriju, kas uzskaitīta Regulas (ES) Nr. 575/2013 147. panta 2. punktā, ievērojot iepriekš norādītos izņēmumus, iestādes atklāj informāciju atsevišķā veidnē ar sīkāku sadalījumu šādām riska darījumu kategorijām:</w:t>
            </w:r>
          </w:p>
          <w:p w14:paraId="6EECA9BF" w14:textId="43ED359C" w:rsidR="00087388" w:rsidRPr="009610E4" w:rsidRDefault="00504A90" w:rsidP="00725D4D">
            <w:pPr>
              <w:spacing w:after="120"/>
              <w:jc w:val="both"/>
              <w:rPr>
                <w:sz w:val="24"/>
                <w:rFonts w:ascii="Times New Roman" w:hAnsi="Times New Roman" w:cs="Times New Roman"/>
              </w:rPr>
            </w:pPr>
            <w:r>
              <w:rPr>
                <w:sz w:val="24"/>
                <w:rFonts w:ascii="Times New Roman" w:hAnsi="Times New Roman"/>
              </w:rPr>
              <w:t xml:space="preserve">— riska darījumu kategorijā “riska darījumi ar komercsabiedrībām” – sadalījums saskaņā ar Regulas (ES) Nr. 575/2013 147. panta 2. punkta c) apakšpunkta i), ii) un iii) punktu,</w:t>
            </w:r>
          </w:p>
          <w:p w14:paraId="45AEFE62" w14:textId="774CC043" w:rsidR="00087388" w:rsidRPr="009610E4" w:rsidRDefault="00087388" w:rsidP="00725D4D">
            <w:pPr>
              <w:autoSpaceDE w:val="0"/>
              <w:autoSpaceDN w:val="0"/>
              <w:adjustRightInd w:val="0"/>
              <w:spacing w:after="120"/>
              <w:jc w:val="both"/>
              <w:rPr>
                <w:iCs/>
                <w:sz w:val="24"/>
                <w:rFonts w:ascii="Times New Roman" w:eastAsia="Times New Roman" w:hAnsi="Times New Roman" w:cs="Times New Roman"/>
              </w:rPr>
            </w:pPr>
            <w:r>
              <w:rPr>
                <w:sz w:val="24"/>
                <w:rFonts w:ascii="Times New Roman" w:hAnsi="Times New Roman"/>
              </w:rPr>
              <w:t xml:space="preserve">— riska darījumu kategorijā “riska darījumi ar privātpersonām vai MVU” – sadalījums saskaņā ar Regulas (ES) Nr. 575/2013 147. panta 2. punkta d) apakšpunkta i), ii), iii) un iv) punktu.</w:t>
            </w:r>
            <w:r>
              <w:rPr>
                <w:sz w:val="24"/>
                <w:rFonts w:ascii="Times New Roman" w:hAnsi="Times New Roman"/>
              </w:rPr>
              <w:t xml:space="preserve"> </w:t>
            </w:r>
          </w:p>
          <w:p w14:paraId="599F2D42" w14:textId="77777777" w:rsidR="00087388" w:rsidRPr="000A6489" w:rsidRDefault="00087388" w:rsidP="00725D4D">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Kopējo riska darījumu rindu iekļauj katras atsevišķās veidnes beigās par katru riska darījumu kategoriju.</w:t>
            </w:r>
          </w:p>
        </w:tc>
      </w:tr>
      <w:tr w:rsidR="009610E4" w:rsidRPr="009610E4" w14:paraId="4E966BC0" w14:textId="77777777" w:rsidTr="11F50173">
        <w:trPr>
          <w:trHeight w:val="316"/>
        </w:trPr>
        <w:tc>
          <w:tcPr>
            <w:tcW w:w="1555" w:type="dxa"/>
          </w:tcPr>
          <w:p w14:paraId="6F4F3B3D" w14:textId="77777777" w:rsidR="00087388" w:rsidRPr="000A6489" w:rsidRDefault="00087388" w:rsidP="00725D4D">
            <w:pPr>
              <w:autoSpaceDE w:val="0"/>
              <w:autoSpaceDN w:val="0"/>
              <w:adjustRightInd w:val="0"/>
              <w:spacing w:after="120"/>
              <w:rPr>
                <w:sz w:val="24"/>
                <w:rFonts w:ascii="Times New Roman" w:hAnsi="Times New Roman" w:cs="Times New Roman"/>
              </w:rPr>
            </w:pPr>
            <w:r>
              <w:rPr>
                <w:sz w:val="24"/>
                <w:i/>
                <w:rFonts w:ascii="Times New Roman" w:hAnsi="Times New Roman"/>
              </w:rPr>
              <w:t xml:space="preserve">F-IRB</w:t>
            </w:r>
          </w:p>
        </w:tc>
        <w:tc>
          <w:tcPr>
            <w:tcW w:w="7484" w:type="dxa"/>
          </w:tcPr>
          <w:p w14:paraId="364084E4" w14:textId="77777777" w:rsidR="00087388" w:rsidRPr="009610E4" w:rsidRDefault="00087388" w:rsidP="00725D4D">
            <w:pPr>
              <w:spacing w:after="120"/>
              <w:jc w:val="both"/>
              <w:rPr>
                <w:b/>
                <w:sz w:val="24"/>
                <w:rFonts w:ascii="Times New Roman" w:hAnsi="Times New Roman" w:cs="Times New Roman"/>
              </w:rPr>
            </w:pPr>
            <w:r>
              <w:rPr>
                <w:b/>
                <w:sz w:val="24"/>
                <w:rFonts w:ascii="Times New Roman" w:hAnsi="Times New Roman"/>
              </w:rPr>
              <w:t xml:space="preserve">Riska darījumu kategorija X</w:t>
            </w:r>
            <w:r>
              <w:rPr>
                <w:b/>
                <w:sz w:val="24"/>
                <w:rFonts w:ascii="Times New Roman" w:hAnsi="Times New Roman"/>
              </w:rPr>
              <w:t xml:space="preserve"> </w:t>
            </w:r>
          </w:p>
          <w:p w14:paraId="69353B77" w14:textId="41E26B41" w:rsidR="00087388" w:rsidRPr="009610E4" w:rsidRDefault="00087388" w:rsidP="11F50173">
            <w:pPr>
              <w:spacing w:after="120"/>
              <w:jc w:val="both"/>
              <w:rPr>
                <w:sz w:val="24"/>
                <w:rFonts w:ascii="Times New Roman" w:eastAsia="Times New Roman" w:hAnsi="Times New Roman" w:cs="Times New Roman"/>
              </w:rPr>
            </w:pPr>
            <w:r>
              <w:rPr>
                <w:sz w:val="24"/>
                <w:rFonts w:ascii="Times New Roman" w:hAnsi="Times New Roman"/>
              </w:rPr>
              <w:t xml:space="preserve">Par katru riska darījumu kategoriju, kas uzskaitīta Regulas (ES) Nr. 575/2013 147. panta 2. punktā, ievērojot iepriekš norādītos izņēmumus, iestādes atklāj informāciju atsevišķā veidnē ar sīkāku sadalījumu šādām riska darījumu kategorijām:</w:t>
            </w:r>
          </w:p>
          <w:p w14:paraId="76DC65D8" w14:textId="34E061C7" w:rsidR="00504A90" w:rsidRPr="009610E4" w:rsidRDefault="4D7D683A" w:rsidP="11F50173">
            <w:pPr>
              <w:spacing w:after="120"/>
              <w:jc w:val="both"/>
              <w:rPr>
                <w:sz w:val="24"/>
                <w:rFonts w:ascii="Times New Roman" w:hAnsi="Times New Roman" w:cs="Times New Roman"/>
              </w:rPr>
            </w:pPr>
            <w:r>
              <w:rPr>
                <w:sz w:val="24"/>
                <w:rFonts w:ascii="Times New Roman" w:hAnsi="Times New Roman"/>
              </w:rPr>
              <w:t xml:space="preserve">— riska darījumu kategorijā “riska darījumi ar komercsabiedrībām” (Regulas (ES)Nr. 575/2013 147. panta 2. punkts) – sadalījums saskaņā ar Regulas (ES) Nr. 575/2013 147. panta 2. punkta i), ii) un iii) apakšpunktu.</w:t>
            </w:r>
          </w:p>
          <w:p w14:paraId="09F757E2" w14:textId="18231EDE" w:rsidR="00087388" w:rsidRPr="000A6489" w:rsidRDefault="00087388" w:rsidP="00725D4D">
            <w:pPr>
              <w:autoSpaceDE w:val="0"/>
              <w:autoSpaceDN w:val="0"/>
              <w:adjustRightInd w:val="0"/>
              <w:spacing w:after="120"/>
              <w:ind w:left="720"/>
              <w:jc w:val="both"/>
              <w:rPr>
                <w:rFonts w:ascii="Times New Roman" w:eastAsia="Times New Roman" w:hAnsi="Times New Roman" w:cs="Times New Roman"/>
                <w:sz w:val="24"/>
              </w:rPr>
            </w:pPr>
          </w:p>
        </w:tc>
      </w:tr>
    </w:tbl>
    <w:p w14:paraId="4B94D5A5" w14:textId="77777777" w:rsidR="00087388" w:rsidRPr="000A6489" w:rsidRDefault="00087388" w:rsidP="00087388">
      <w:pPr>
        <w:spacing w:after="120"/>
        <w:rPr>
          <w:rFonts w:ascii="Times New Roman" w:hAnsi="Times New Roman" w:cs="Times New Roman"/>
          <w:sz w:val="24"/>
        </w:rPr>
      </w:pPr>
    </w:p>
    <w:p w14:paraId="3DEEC669" w14:textId="77777777" w:rsidR="00087388" w:rsidRPr="000A6489" w:rsidRDefault="00087388" w:rsidP="00087388">
      <w:pPr>
        <w:spacing w:after="120"/>
        <w:rPr>
          <w:rFonts w:ascii="Times New Roman" w:hAnsi="Times New Roman" w:cs="Times New Roman"/>
          <w:sz w:val="24"/>
        </w:rPr>
      </w:pPr>
    </w:p>
    <w:p w14:paraId="5B489A8A" w14:textId="77777777" w:rsidR="00087388" w:rsidRPr="00F1728C" w:rsidRDefault="00087388" w:rsidP="00087388">
      <w:pPr>
        <w:spacing w:after="120"/>
        <w:rPr>
          <w:b/>
          <w:sz w:val="24"/>
          <w:rFonts w:ascii="Times New Roman" w:hAnsi="Times New Roman" w:cs="Times New Roman"/>
        </w:rPr>
      </w:pPr>
      <w:r>
        <w:rPr>
          <w:b/>
          <w:sz w:val="24"/>
          <w:rFonts w:ascii="Times New Roman" w:hAnsi="Times New Roman"/>
        </w:rPr>
        <w:t xml:space="preserve">Veidne EU CR6-A – </w:t>
      </w:r>
      <w:r>
        <w:rPr>
          <w:b/>
          <w:sz w:val="24"/>
          <w:i/>
          <w:rFonts w:ascii="Times New Roman" w:hAnsi="Times New Roman"/>
        </w:rPr>
        <w:t xml:space="preserve">IRB</w:t>
      </w:r>
      <w:r>
        <w:rPr>
          <w:b/>
          <w:sz w:val="24"/>
          <w:rFonts w:ascii="Times New Roman" w:hAnsi="Times New Roman"/>
        </w:rPr>
        <w:t xml:space="preserve"> pieeja – </w:t>
      </w:r>
      <w:r>
        <w:rPr>
          <w:b/>
          <w:sz w:val="24"/>
          <w:i/>
          <w:rFonts w:ascii="Times New Roman" w:hAnsi="Times New Roman"/>
        </w:rPr>
        <w:t xml:space="preserve">IRB</w:t>
      </w:r>
      <w:r>
        <w:rPr>
          <w:b/>
          <w:sz w:val="24"/>
          <w:rFonts w:ascii="Times New Roman" w:hAnsi="Times New Roman"/>
        </w:rPr>
        <w:t xml:space="preserve"> pieejas un standartizētās pieejas izmantošanas tvērums.</w:t>
      </w:r>
      <w:r>
        <w:rPr>
          <w:b/>
          <w:sz w:val="24"/>
          <w:rFonts w:ascii="Times New Roman" w:hAnsi="Times New Roman"/>
        </w:rPr>
        <w:t xml:space="preserve"> </w:t>
      </w:r>
      <w:r>
        <w:rPr>
          <w:b/>
          <w:sz w:val="24"/>
          <w:rFonts w:ascii="Times New Roman" w:hAnsi="Times New Roman"/>
        </w:rPr>
        <w:t xml:space="preserve">Fiksēta veidne.</w:t>
      </w:r>
    </w:p>
    <w:p w14:paraId="3656B9AB" w14:textId="77777777" w:rsidR="00087388" w:rsidRPr="00F1728C" w:rsidRDefault="00087388" w:rsidP="00087388">
      <w:pPr>
        <w:spacing w:after="120"/>
        <w:rPr>
          <w:rFonts w:ascii="Times New Roman" w:hAnsi="Times New Roman" w:cs="Times New Roman"/>
          <w:sz w:val="24"/>
        </w:rPr>
      </w:pPr>
    </w:p>
    <w:p w14:paraId="0F23DA47" w14:textId="58447C56" w:rsidR="00087388" w:rsidRPr="00F1728C" w:rsidRDefault="01E22573" w:rsidP="003B7D6C">
      <w:pPr>
        <w:pStyle w:val="ListParagraph"/>
        <w:numPr>
          <w:ilvl w:val="0"/>
          <w:numId w:val="7"/>
        </w:numPr>
        <w:spacing w:after="120"/>
        <w:jc w:val="both"/>
        <w:rPr>
          <w:sz w:val="24"/>
          <w:szCs w:val="24"/>
          <w:rFonts w:ascii="Times New Roman" w:hAnsi="Times New Roman"/>
        </w:rPr>
      </w:pPr>
      <w:r>
        <w:rPr>
          <w:sz w:val="24"/>
          <w:rFonts w:ascii="Times New Roman" w:hAnsi="Times New Roman"/>
        </w:rPr>
        <w:t xml:space="preserve">Iestādes, kas aprēķina riska darījumu riska svērtās vērtības saskaņā ar </w:t>
      </w:r>
      <w:r>
        <w:rPr>
          <w:sz w:val="24"/>
          <w:i/>
          <w:rFonts w:ascii="Times New Roman" w:hAnsi="Times New Roman"/>
        </w:rPr>
        <w:t xml:space="preserve">IRB</w:t>
      </w:r>
      <w:r>
        <w:rPr>
          <w:sz w:val="24"/>
          <w:rFonts w:ascii="Times New Roman" w:hAnsi="Times New Roman"/>
        </w:rPr>
        <w:t xml:space="preserve"> pieeju kredītriskam, atklāj Regulas (ES) Nr. 575/2013 452. panta b) punktā minēto informāciju, ievērojot turpmāk šajā pielikumā sniegtos norādījumus, lai aizpildītu EBI IT risinājumu XXI pielikumā ietverto veidni EU CR6-A.</w:t>
      </w:r>
    </w:p>
    <w:p w14:paraId="4B5E480E" w14:textId="13381D9A" w:rsidR="00087388" w:rsidRPr="00F1728C" w:rsidRDefault="00087388" w:rsidP="63E31B68">
      <w:pPr>
        <w:pStyle w:val="ListParagraph"/>
        <w:numPr>
          <w:ilvl w:val="0"/>
          <w:numId w:val="7"/>
        </w:numPr>
        <w:spacing w:after="120"/>
        <w:jc w:val="both"/>
        <w:rPr>
          <w:sz w:val="24"/>
          <w:szCs w:val="24"/>
          <w:rFonts w:ascii="Times New Roman" w:hAnsi="Times New Roman"/>
        </w:rPr>
      </w:pPr>
      <w:r>
        <w:rPr>
          <w:sz w:val="24"/>
          <w:rFonts w:ascii="Times New Roman" w:hAnsi="Times New Roman"/>
        </w:rPr>
        <w:t xml:space="preserve">Šīs veidnes nolūkos iestādes savus riska darījumus atbilstoši standartizētajai pieejai, kas noteikta trešās daļas II sadaļas 2. nodaļā, vai </w:t>
      </w:r>
      <w:r>
        <w:rPr>
          <w:sz w:val="24"/>
          <w:i/>
          <w:rFonts w:ascii="Times New Roman" w:hAnsi="Times New Roman"/>
        </w:rPr>
        <w:t xml:space="preserve">IRB</w:t>
      </w:r>
      <w:r>
        <w:rPr>
          <w:sz w:val="24"/>
          <w:rFonts w:ascii="Times New Roman" w:hAnsi="Times New Roman"/>
        </w:rPr>
        <w:t xml:space="preserve"> pieejai, kas noteikta trešās daļas II sadaļas 3. nodaļā, sadala riska darījumu kategorijās, kuras definētas atbilstoši </w:t>
      </w:r>
      <w:r>
        <w:rPr>
          <w:sz w:val="24"/>
          <w:i/>
          <w:rFonts w:ascii="Times New Roman" w:hAnsi="Times New Roman"/>
        </w:rPr>
        <w:t xml:space="preserve">IRB</w:t>
      </w:r>
      <w:r>
        <w:rPr>
          <w:sz w:val="24"/>
          <w:rFonts w:ascii="Times New Roman" w:hAnsi="Times New Roman"/>
        </w:rPr>
        <w:t xml:space="preserve"> pieejai.</w:t>
      </w:r>
      <w:r>
        <w:rPr>
          <w:sz w:val="24"/>
          <w:rFonts w:ascii="Times New Roman" w:hAnsi="Times New Roman"/>
        </w:rPr>
        <w:t xml:space="preserve"> </w:t>
      </w:r>
      <w:r>
        <w:rPr>
          <w:sz w:val="24"/>
          <w:rFonts w:ascii="Times New Roman" w:hAnsi="Times New Roman"/>
        </w:rPr>
        <w:t xml:space="preserve">Šajā veidnē neiekļauj darījuma partnera kredītriska (</w:t>
      </w:r>
      <w:r>
        <w:rPr>
          <w:sz w:val="24"/>
          <w:i/>
          <w:rFonts w:ascii="Times New Roman" w:hAnsi="Times New Roman"/>
        </w:rPr>
        <w:t xml:space="preserve">CCR</w:t>
      </w:r>
      <w:r>
        <w:rPr>
          <w:sz w:val="24"/>
          <w:rFonts w:ascii="Times New Roman" w:hAnsi="Times New Roman"/>
        </w:rPr>
        <w:t xml:space="preserve">) riska darījumus (Regulas (ES) Nr. 575/2013 trešās daļas II sadaļas 6. nodaļa) un vērtspapīrošanas riska darījumus.</w:t>
      </w:r>
    </w:p>
    <w:p w14:paraId="1865EDC4" w14:textId="7E9F1F91" w:rsidR="00087388" w:rsidRPr="00F1728C" w:rsidRDefault="00087388" w:rsidP="11F50173">
      <w:pPr>
        <w:pStyle w:val="ListParagraph"/>
        <w:numPr>
          <w:ilvl w:val="0"/>
          <w:numId w:val="7"/>
        </w:numPr>
        <w:spacing w:after="120"/>
        <w:ind w:left="714" w:hanging="357"/>
        <w:jc w:val="both"/>
        <w:rPr>
          <w:sz w:val="24"/>
          <w:szCs w:val="24"/>
          <w:rFonts w:ascii="Times New Roman" w:hAnsi="Times New Roman"/>
        </w:rPr>
      </w:pPr>
      <w:r>
        <w:rPr>
          <w:sz w:val="24"/>
          <w:rFonts w:ascii="Times New Roman" w:hAnsi="Times New Roman"/>
        </w:rPr>
        <w:t xml:space="preserve">Iestādes veidnei pievienotajā izklāsta daļā paskaidro visas būtiskās atšķirības starp riska darījumu vērtību, kas noteikta Regulas (ES) Nr. 575/2013 166. pantā attiecībā uz </w:t>
      </w:r>
      <w:r>
        <w:rPr>
          <w:sz w:val="24"/>
          <w:i/>
          <w:rFonts w:ascii="Times New Roman" w:hAnsi="Times New Roman"/>
        </w:rPr>
        <w:t xml:space="preserve">IRB</w:t>
      </w:r>
      <w:r>
        <w:rPr>
          <w:sz w:val="24"/>
          <w:rFonts w:ascii="Times New Roman" w:hAnsi="Times New Roman"/>
        </w:rPr>
        <w:t xml:space="preserve"> riska darījumiem, kā norādīts veidnes a ailē, un to pašu riska darījumu vērtību saskaņā ar Regulas (ES) Nr. 575/2013 429. panta 4. punktu, kā norādīts šīs veidnes b un d dailē.</w:t>
      </w:r>
    </w:p>
    <w:tbl>
      <w:tblPr>
        <w:tblW w:w="90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7632"/>
      </w:tblGrid>
      <w:tr w:rsidR="00087388" w:rsidRPr="00F1728C" w14:paraId="1202DD0E" w14:textId="77777777" w:rsidTr="63E31B68">
        <w:trPr>
          <w:trHeight w:val="90"/>
        </w:trPr>
        <w:tc>
          <w:tcPr>
            <w:tcW w:w="904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9C1942C" w14:textId="77777777" w:rsidR="00087388" w:rsidRPr="000A6489" w:rsidRDefault="00087388" w:rsidP="00725D4D">
            <w:pPr>
              <w:spacing w:after="120"/>
              <w:rPr>
                <w:b/>
                <w:sz w:val="24"/>
                <w:rFonts w:ascii="Times New Roman" w:hAnsi="Times New Roman" w:cs="Times New Roman"/>
              </w:rPr>
            </w:pPr>
            <w:r>
              <w:rPr>
                <w:b/>
                <w:sz w:val="24"/>
                <w:rFonts w:ascii="Times New Roman" w:hAnsi="Times New Roman"/>
              </w:rPr>
              <w:t xml:space="preserve">Atsauces uz tiesību aktiem un norādījumi</w:t>
            </w:r>
          </w:p>
        </w:tc>
      </w:tr>
      <w:tr w:rsidR="00087388" w:rsidRPr="00F1728C" w14:paraId="203103B3" w14:textId="77777777" w:rsidTr="63E31B68">
        <w:trPr>
          <w:trHeight w:val="238"/>
        </w:trPr>
        <w:tc>
          <w:tcPr>
            <w:tcW w:w="141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7BA2571" w14:textId="77777777" w:rsidR="00087388" w:rsidRPr="000A6489" w:rsidRDefault="00087388" w:rsidP="00725D4D">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Atsauce uz aili</w:t>
            </w:r>
          </w:p>
        </w:tc>
        <w:tc>
          <w:tcPr>
            <w:tcW w:w="763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29AB804" w14:textId="77777777" w:rsidR="00087388" w:rsidRPr="000A6489" w:rsidRDefault="00087388" w:rsidP="00725D4D">
            <w:pPr>
              <w:autoSpaceDE w:val="0"/>
              <w:autoSpaceDN w:val="0"/>
              <w:adjustRightInd w:val="0"/>
              <w:spacing w:after="120"/>
              <w:rPr>
                <w:color w:val="000000"/>
                <w:sz w:val="24"/>
                <w:rFonts w:ascii="Times New Roman" w:hAnsi="Times New Roman" w:cs="Times New Roman"/>
              </w:rPr>
            </w:pPr>
            <w:r>
              <w:rPr>
                <w:b/>
                <w:sz w:val="24"/>
                <w:rFonts w:ascii="Times New Roman" w:hAnsi="Times New Roman"/>
              </w:rPr>
              <w:t xml:space="preserve">Paskaidrojums</w:t>
            </w:r>
          </w:p>
        </w:tc>
      </w:tr>
      <w:tr w:rsidR="009610E4" w:rsidRPr="009610E4" w14:paraId="0BBBC27A" w14:textId="77777777" w:rsidTr="63E31B68">
        <w:trPr>
          <w:trHeight w:val="316"/>
        </w:trPr>
        <w:tc>
          <w:tcPr>
            <w:tcW w:w="1413" w:type="dxa"/>
            <w:tcBorders>
              <w:top w:val="single" w:sz="4" w:space="0" w:color="auto"/>
              <w:left w:val="single" w:sz="4" w:space="0" w:color="auto"/>
              <w:bottom w:val="single" w:sz="4" w:space="0" w:color="auto"/>
              <w:right w:val="single" w:sz="4" w:space="0" w:color="auto"/>
            </w:tcBorders>
          </w:tcPr>
          <w:p w14:paraId="38613DB8" w14:textId="77777777" w:rsidR="00087388" w:rsidRPr="009610E4" w:rsidRDefault="00087388" w:rsidP="00725D4D">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a</w:t>
            </w:r>
          </w:p>
        </w:tc>
        <w:tc>
          <w:tcPr>
            <w:tcW w:w="7632" w:type="dxa"/>
            <w:tcBorders>
              <w:top w:val="single" w:sz="4" w:space="0" w:color="auto"/>
              <w:left w:val="single" w:sz="4" w:space="0" w:color="auto"/>
              <w:bottom w:val="single" w:sz="4" w:space="0" w:color="auto"/>
              <w:right w:val="single" w:sz="4" w:space="0" w:color="auto"/>
            </w:tcBorders>
          </w:tcPr>
          <w:p w14:paraId="5DD27760" w14:textId="06E6B93A" w:rsidR="00087388" w:rsidRPr="009610E4" w:rsidRDefault="00B91174" w:rsidP="11F50173">
            <w:pPr>
              <w:autoSpaceDE w:val="0"/>
              <w:autoSpaceDN w:val="0"/>
              <w:adjustRightInd w:val="0"/>
              <w:spacing w:after="120"/>
              <w:jc w:val="both"/>
              <w:rPr>
                <w:b/>
                <w:bCs/>
                <w:spacing w:val="-2"/>
                <w:sz w:val="24"/>
                <w:rFonts w:ascii="Times New Roman" w:hAnsi="Times New Roman" w:cs="Times New Roman"/>
              </w:rPr>
            </w:pPr>
            <w:r>
              <w:rPr>
                <w:b/>
                <w:sz w:val="24"/>
                <w:rFonts w:ascii="Times New Roman" w:hAnsi="Times New Roman"/>
              </w:rPr>
              <w:t xml:space="preserve">Kopējā riska darījumu vērtība, kas definēta </w:t>
            </w:r>
            <w:r>
              <w:rPr>
                <w:b/>
                <w:sz w:val="24"/>
                <w:i/>
                <w:rFonts w:ascii="Times New Roman" w:hAnsi="Times New Roman"/>
              </w:rPr>
              <w:t xml:space="preserve">CRR</w:t>
            </w:r>
            <w:r>
              <w:rPr>
                <w:b/>
                <w:sz w:val="24"/>
                <w:rFonts w:ascii="Times New Roman" w:hAnsi="Times New Roman"/>
              </w:rPr>
              <w:t xml:space="preserve"> 166. pantā attiecībā uz riska darījumiem, kuriem piemēro </w:t>
            </w:r>
            <w:r>
              <w:rPr>
                <w:b/>
                <w:sz w:val="24"/>
                <w:i/>
                <w:rFonts w:ascii="Times New Roman" w:hAnsi="Times New Roman"/>
              </w:rPr>
              <w:t xml:space="preserve">IRB</w:t>
            </w:r>
            <w:r>
              <w:rPr>
                <w:b/>
                <w:sz w:val="24"/>
                <w:rFonts w:ascii="Times New Roman" w:hAnsi="Times New Roman"/>
              </w:rPr>
              <w:t xml:space="preserve"> pieeju</w:t>
            </w:r>
          </w:p>
          <w:p w14:paraId="22960DEC" w14:textId="259642C3" w:rsidR="00087388" w:rsidRPr="009610E4" w:rsidRDefault="00087388" w:rsidP="11F50173">
            <w:pPr>
              <w:autoSpaceDE w:val="0"/>
              <w:autoSpaceDN w:val="0"/>
              <w:adjustRightInd w:val="0"/>
              <w:spacing w:after="120"/>
              <w:jc w:val="both"/>
              <w:rPr>
                <w:spacing w:val="-2"/>
                <w:sz w:val="24"/>
                <w:rFonts w:ascii="Times New Roman" w:hAnsi="Times New Roman" w:cs="Times New Roman"/>
              </w:rPr>
            </w:pPr>
            <w:r>
              <w:rPr>
                <w:sz w:val="24"/>
                <w:rFonts w:ascii="Times New Roman" w:hAnsi="Times New Roman"/>
              </w:rPr>
              <w:t xml:space="preserve">Iestādes šajā veidnē atklāj kopējo riska darījumu vērtību, kas definēta Regulas (ES) Nr. 575/2013 166. pantā, tikai attiecībā uz tiem riska darījumiem, kuriem piemēro </w:t>
            </w:r>
            <w:r>
              <w:rPr>
                <w:sz w:val="24"/>
                <w:i/>
                <w:rFonts w:ascii="Times New Roman" w:hAnsi="Times New Roman"/>
              </w:rPr>
              <w:t xml:space="preserve">IRB</w:t>
            </w:r>
            <w:r>
              <w:rPr>
                <w:sz w:val="24"/>
                <w:rFonts w:ascii="Times New Roman" w:hAnsi="Times New Roman"/>
              </w:rPr>
              <w:t xml:space="preserve"> pieeju.</w:t>
            </w:r>
          </w:p>
        </w:tc>
      </w:tr>
      <w:tr w:rsidR="009610E4" w:rsidRPr="009610E4" w14:paraId="3CF94307" w14:textId="77777777" w:rsidTr="63E31B68">
        <w:trPr>
          <w:trHeight w:val="316"/>
        </w:trPr>
        <w:tc>
          <w:tcPr>
            <w:tcW w:w="1413" w:type="dxa"/>
            <w:tcBorders>
              <w:top w:val="single" w:sz="4" w:space="0" w:color="auto"/>
              <w:left w:val="single" w:sz="4" w:space="0" w:color="auto"/>
              <w:bottom w:val="single" w:sz="4" w:space="0" w:color="auto"/>
              <w:right w:val="single" w:sz="4" w:space="0" w:color="auto"/>
            </w:tcBorders>
          </w:tcPr>
          <w:p w14:paraId="74F4F774" w14:textId="77777777" w:rsidR="00087388" w:rsidRPr="009610E4" w:rsidRDefault="00087388" w:rsidP="00725D4D">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b</w:t>
            </w:r>
          </w:p>
        </w:tc>
        <w:tc>
          <w:tcPr>
            <w:tcW w:w="7632" w:type="dxa"/>
            <w:tcBorders>
              <w:top w:val="single" w:sz="4" w:space="0" w:color="auto"/>
              <w:left w:val="single" w:sz="4" w:space="0" w:color="auto"/>
              <w:bottom w:val="single" w:sz="4" w:space="0" w:color="auto"/>
              <w:right w:val="single" w:sz="4" w:space="0" w:color="auto"/>
            </w:tcBorders>
          </w:tcPr>
          <w:p w14:paraId="73071087" w14:textId="77777777" w:rsidR="00087388" w:rsidRPr="009610E4" w:rsidRDefault="00087388" w:rsidP="00725D4D">
            <w:pPr>
              <w:autoSpaceDE w:val="0"/>
              <w:autoSpaceDN w:val="0"/>
              <w:adjustRightInd w:val="0"/>
              <w:spacing w:after="120"/>
              <w:jc w:val="both"/>
              <w:rPr>
                <w:b/>
                <w:spacing w:val="-2"/>
                <w:sz w:val="24"/>
                <w:rFonts w:ascii="Times New Roman" w:hAnsi="Times New Roman" w:cs="Times New Roman"/>
              </w:rPr>
            </w:pPr>
            <w:r>
              <w:rPr>
                <w:b/>
                <w:sz w:val="24"/>
                <w:rFonts w:ascii="Times New Roman" w:hAnsi="Times New Roman"/>
              </w:rPr>
              <w:t xml:space="preserve">Kopējā riska darījumu vērtība riska darījumiem, kam piemēro standartizēto pieeju un </w:t>
            </w:r>
            <w:r>
              <w:rPr>
                <w:b/>
                <w:sz w:val="24"/>
                <w:i/>
                <w:rFonts w:ascii="Times New Roman" w:hAnsi="Times New Roman"/>
              </w:rPr>
              <w:t xml:space="preserve">IRB</w:t>
            </w:r>
            <w:r>
              <w:rPr>
                <w:b/>
                <w:sz w:val="24"/>
                <w:rFonts w:ascii="Times New Roman" w:hAnsi="Times New Roman"/>
              </w:rPr>
              <w:t xml:space="preserve"> pieeju</w:t>
            </w:r>
          </w:p>
          <w:p w14:paraId="715E07E7" w14:textId="108C0C4F" w:rsidR="00087388" w:rsidRPr="009610E4" w:rsidRDefault="00087388" w:rsidP="11F50173">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Iestādes izmanto riska darījumu vērtību saskaņā ar Regulas (ES) Nr. 575/2013 429. panta 4. punktu, lai atklātu kopējo riska darījumu vērtību – gan riska darījumiem, kam piemēro standartizēto pieeju, gan tiem, kam piemēro </w:t>
            </w:r>
            <w:r>
              <w:rPr>
                <w:sz w:val="24"/>
                <w:i/>
                <w:rFonts w:ascii="Times New Roman" w:hAnsi="Times New Roman"/>
              </w:rPr>
              <w:t xml:space="preserve">IRB</w:t>
            </w:r>
            <w:r>
              <w:rPr>
                <w:sz w:val="24"/>
                <w:rFonts w:ascii="Times New Roman" w:hAnsi="Times New Roman"/>
              </w:rPr>
              <w:t xml:space="preserve"> pieeju.</w:t>
            </w:r>
            <w:r>
              <w:rPr>
                <w:sz w:val="24"/>
                <w:rFonts w:ascii="Times New Roman" w:hAnsi="Times New Roman"/>
              </w:rPr>
              <w:t xml:space="preserve"> </w:t>
            </w:r>
          </w:p>
        </w:tc>
      </w:tr>
      <w:tr w:rsidR="00087388" w:rsidRPr="00F1728C" w14:paraId="6E3E2BF2" w14:textId="77777777" w:rsidTr="63E31B68">
        <w:trPr>
          <w:trHeight w:val="316"/>
        </w:trPr>
        <w:tc>
          <w:tcPr>
            <w:tcW w:w="1413" w:type="dxa"/>
            <w:tcBorders>
              <w:top w:val="single" w:sz="4" w:space="0" w:color="auto"/>
              <w:left w:val="single" w:sz="4" w:space="0" w:color="auto"/>
              <w:bottom w:val="single" w:sz="4" w:space="0" w:color="auto"/>
              <w:right w:val="single" w:sz="4" w:space="0" w:color="auto"/>
            </w:tcBorders>
          </w:tcPr>
          <w:p w14:paraId="42361D00" w14:textId="77777777" w:rsidR="00087388" w:rsidRPr="00F1728C" w:rsidRDefault="00087388" w:rsidP="00725D4D">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c</w:t>
            </w:r>
          </w:p>
        </w:tc>
        <w:tc>
          <w:tcPr>
            <w:tcW w:w="7632" w:type="dxa"/>
            <w:tcBorders>
              <w:top w:val="single" w:sz="4" w:space="0" w:color="auto"/>
              <w:left w:val="single" w:sz="4" w:space="0" w:color="auto"/>
              <w:bottom w:val="single" w:sz="4" w:space="0" w:color="auto"/>
              <w:right w:val="single" w:sz="4" w:space="0" w:color="auto"/>
            </w:tcBorders>
          </w:tcPr>
          <w:p w14:paraId="79E7BADF" w14:textId="77777777" w:rsidR="00087388" w:rsidRPr="00F1728C" w:rsidRDefault="00087388" w:rsidP="00725D4D">
            <w:pPr>
              <w:autoSpaceDE w:val="0"/>
              <w:autoSpaceDN w:val="0"/>
              <w:adjustRightInd w:val="0"/>
              <w:spacing w:after="120"/>
              <w:jc w:val="both"/>
              <w:rPr>
                <w:b/>
                <w:spacing w:val="-2"/>
                <w:sz w:val="24"/>
                <w:rFonts w:ascii="Times New Roman" w:hAnsi="Times New Roman" w:cs="Times New Roman"/>
              </w:rPr>
            </w:pPr>
            <w:r>
              <w:rPr>
                <w:b/>
                <w:sz w:val="24"/>
                <w:rFonts w:ascii="Times New Roman" w:hAnsi="Times New Roman"/>
              </w:rPr>
              <w:t xml:space="preserve">Tās kopējās riska darījumu vērtības procentuālā daļa, kam piemēro standartizētās pieejas pastāvīgu daļēju izmantošanu (%)</w:t>
            </w:r>
          </w:p>
          <w:p w14:paraId="2766CDC2" w14:textId="5A19A0E5" w:rsidR="00087388" w:rsidRPr="00F1728C" w:rsidRDefault="00087388" w:rsidP="63E31B68">
            <w:pPr>
              <w:spacing w:after="120"/>
              <w:jc w:val="both"/>
              <w:rPr>
                <w:sz w:val="24"/>
                <w:rFonts w:ascii="Times New Roman" w:hAnsi="Times New Roman" w:cs="Times New Roman"/>
              </w:rPr>
            </w:pPr>
            <w:r>
              <w:rPr>
                <w:sz w:val="24"/>
                <w:rFonts w:ascii="Times New Roman" w:hAnsi="Times New Roman"/>
              </w:rPr>
              <w:t xml:space="preserve">Riska darījumu daļa par katru riska darījumu kategoriju, kam piemēro standartizēto pieeju (riska darījumi, kam piemēro trešās daļas II sadaļas 2. nodaļā noteikto standartizēto pieeju saskaņā ar atļauju standartizētās pieejas pastāvīgai daļējai izmantošanai, kas saņemta no kompetentās iestādes saskaņā ar Regulas (ES) Nr. 575/2013 150. pantu), attiecībā pret kopējiem riska darījumiem attiecīgajā riska darījumu kategorijā, kā norādīts šīs veidnes b ailē.</w:t>
            </w:r>
          </w:p>
        </w:tc>
      </w:tr>
      <w:tr w:rsidR="00087388" w:rsidRPr="00F1728C" w14:paraId="44A7F909" w14:textId="77777777" w:rsidTr="63E31B68">
        <w:trPr>
          <w:trHeight w:val="316"/>
        </w:trPr>
        <w:tc>
          <w:tcPr>
            <w:tcW w:w="1413" w:type="dxa"/>
            <w:tcBorders>
              <w:top w:val="single" w:sz="4" w:space="0" w:color="auto"/>
              <w:left w:val="single" w:sz="4" w:space="0" w:color="auto"/>
              <w:bottom w:val="single" w:sz="4" w:space="0" w:color="auto"/>
              <w:right w:val="single" w:sz="4" w:space="0" w:color="auto"/>
            </w:tcBorders>
          </w:tcPr>
          <w:p w14:paraId="1559D049" w14:textId="77777777" w:rsidR="00087388" w:rsidRPr="00F1728C" w:rsidRDefault="00087388" w:rsidP="00725D4D">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d</w:t>
            </w:r>
          </w:p>
        </w:tc>
        <w:tc>
          <w:tcPr>
            <w:tcW w:w="7632" w:type="dxa"/>
            <w:tcBorders>
              <w:top w:val="single" w:sz="4" w:space="0" w:color="auto"/>
              <w:left w:val="single" w:sz="4" w:space="0" w:color="auto"/>
              <w:bottom w:val="single" w:sz="4" w:space="0" w:color="auto"/>
              <w:right w:val="single" w:sz="4" w:space="0" w:color="auto"/>
            </w:tcBorders>
          </w:tcPr>
          <w:p w14:paraId="0DE848FF" w14:textId="77777777" w:rsidR="00087388" w:rsidRPr="00F1728C" w:rsidRDefault="00087388" w:rsidP="00725D4D">
            <w:pPr>
              <w:autoSpaceDE w:val="0"/>
              <w:autoSpaceDN w:val="0"/>
              <w:adjustRightInd w:val="0"/>
              <w:spacing w:after="120"/>
              <w:rPr>
                <w:b/>
                <w:spacing w:val="-2"/>
                <w:sz w:val="24"/>
                <w:rFonts w:ascii="Times New Roman" w:hAnsi="Times New Roman" w:cs="Times New Roman"/>
              </w:rPr>
            </w:pPr>
            <w:r>
              <w:rPr>
                <w:b/>
                <w:sz w:val="24"/>
                <w:rFonts w:ascii="Times New Roman" w:hAnsi="Times New Roman"/>
              </w:rPr>
              <w:t xml:space="preserve">Tās kopējās riska darījumu vērtības procentuālā daļa, kam piemēro </w:t>
            </w:r>
            <w:r>
              <w:rPr>
                <w:b/>
                <w:sz w:val="24"/>
                <w:i/>
                <w:rFonts w:ascii="Times New Roman" w:hAnsi="Times New Roman"/>
              </w:rPr>
              <w:t xml:space="preserve">IRB</w:t>
            </w:r>
            <w:r>
              <w:rPr>
                <w:b/>
                <w:sz w:val="24"/>
                <w:rFonts w:ascii="Times New Roman" w:hAnsi="Times New Roman"/>
              </w:rPr>
              <w:t xml:space="preserve"> pieeju (%)</w:t>
            </w:r>
          </w:p>
          <w:p w14:paraId="7F835ACD" w14:textId="6B1A5E27" w:rsidR="00087388" w:rsidRPr="00F1728C" w:rsidRDefault="00087388" w:rsidP="63E31B68">
            <w:pPr>
              <w:autoSpaceDE w:val="0"/>
              <w:autoSpaceDN w:val="0"/>
              <w:adjustRightInd w:val="0"/>
              <w:spacing w:after="120"/>
              <w:jc w:val="both"/>
              <w:rPr>
                <w:spacing w:val="-2"/>
                <w:sz w:val="24"/>
                <w:rFonts w:ascii="Times New Roman" w:hAnsi="Times New Roman" w:cs="Times New Roman"/>
              </w:rPr>
            </w:pPr>
            <w:r>
              <w:rPr>
                <w:sz w:val="24"/>
                <w:rFonts w:ascii="Times New Roman" w:hAnsi="Times New Roman"/>
              </w:rPr>
              <w:t xml:space="preserve">Riska darījumu daļa par katru riska darījumu kategoriju, kam piemēro </w:t>
            </w:r>
            <w:r>
              <w:rPr>
                <w:sz w:val="24"/>
                <w:i/>
                <w:rFonts w:ascii="Times New Roman" w:hAnsi="Times New Roman"/>
              </w:rPr>
              <w:t xml:space="preserve">IRB</w:t>
            </w:r>
            <w:r>
              <w:rPr>
                <w:sz w:val="24"/>
                <w:rFonts w:ascii="Times New Roman" w:hAnsi="Times New Roman"/>
              </w:rPr>
              <w:t xml:space="preserve"> pieeju (riska darījumi, kam piemēro trešās daļas II sadaļas 3. nodaļā noteikto </w:t>
            </w:r>
            <w:r>
              <w:rPr>
                <w:sz w:val="24"/>
                <w:i/>
                <w:rFonts w:ascii="Times New Roman" w:hAnsi="Times New Roman"/>
              </w:rPr>
              <w:t xml:space="preserve">IRB</w:t>
            </w:r>
            <w:r>
              <w:rPr>
                <w:sz w:val="24"/>
                <w:rFonts w:ascii="Times New Roman" w:hAnsi="Times New Roman"/>
              </w:rPr>
              <w:t xml:space="preserve"> pieeju, attiecībā pret kopējiem riska darījumiem attiecīgajā riska darījumu kategorijā), ievērojot no kompetentās iestādes saņemto atļauju izmantot </w:t>
            </w:r>
            <w:r>
              <w:rPr>
                <w:sz w:val="24"/>
                <w:i/>
                <w:rFonts w:ascii="Times New Roman" w:hAnsi="Times New Roman"/>
              </w:rPr>
              <w:t xml:space="preserve">IRB</w:t>
            </w:r>
            <w:r>
              <w:rPr>
                <w:sz w:val="24"/>
                <w:rFonts w:ascii="Times New Roman" w:hAnsi="Times New Roman"/>
              </w:rPr>
              <w:t xml:space="preserve"> pieeju saskaņā ar Regulas (ES) Nr. 575/2013 143. pantu, attiecībā pret kopējiem riska darījumiem attiecīgajā riska darījumu kategorijā, kā norādīts šīs veidnes b ailē.</w:t>
            </w:r>
            <w:r>
              <w:rPr>
                <w:sz w:val="24"/>
                <w:rFonts w:ascii="Times New Roman" w:hAnsi="Times New Roman"/>
              </w:rPr>
              <w:t xml:space="preserve"> </w:t>
            </w:r>
            <w:r>
              <w:rPr>
                <w:sz w:val="24"/>
                <w:rFonts w:ascii="Times New Roman" w:hAnsi="Times New Roman"/>
              </w:rPr>
              <w:t xml:space="preserve">Iekļauj riska darījumus neatkarīgi no tā, vai iestādes attiecībā uz tiem ir vai nav saņēmušas atļauju izmantot savu </w:t>
            </w:r>
            <w:r>
              <w:rPr>
                <w:sz w:val="24"/>
                <w:i/>
                <w:rFonts w:ascii="Times New Roman" w:hAnsi="Times New Roman"/>
              </w:rPr>
              <w:t xml:space="preserve">LGD</w:t>
            </w:r>
            <w:r>
              <w:rPr>
                <w:sz w:val="24"/>
                <w:rFonts w:ascii="Times New Roman" w:hAnsi="Times New Roman"/>
              </w:rPr>
              <w:t xml:space="preserve"> aplēsi un korekcijas pakāpes (</w:t>
            </w:r>
            <w:r>
              <w:rPr>
                <w:sz w:val="24"/>
                <w:i/>
                <w:rFonts w:ascii="Times New Roman" w:hAnsi="Times New Roman"/>
              </w:rPr>
              <w:t xml:space="preserve">F-IRB</w:t>
            </w:r>
            <w:r>
              <w:rPr>
                <w:sz w:val="24"/>
                <w:rFonts w:ascii="Times New Roman" w:hAnsi="Times New Roman"/>
              </w:rPr>
              <w:t xml:space="preserve"> un </w:t>
            </w:r>
            <w:r>
              <w:rPr>
                <w:sz w:val="24"/>
                <w:i/>
                <w:rFonts w:ascii="Times New Roman" w:hAnsi="Times New Roman"/>
              </w:rPr>
              <w:t xml:space="preserve">A-IRB</w:t>
            </w:r>
            <w:r>
              <w:rPr>
                <w:sz w:val="24"/>
                <w:rFonts w:ascii="Times New Roman" w:hAnsi="Times New Roman"/>
              </w:rPr>
              <w:t xml:space="preserve">), tajā skaitā uzraudzības grupēšanas pieeju specializētās kreditēšanas riska darījumiem un kapitāla vērtspapīru riska darījumiem atbilstoši vienkāršajai riska pakāpju pieejai.</w:t>
            </w:r>
          </w:p>
        </w:tc>
      </w:tr>
      <w:tr w:rsidR="00087388" w:rsidRPr="00F1728C" w14:paraId="12193497" w14:textId="77777777" w:rsidTr="63E31B68">
        <w:trPr>
          <w:trHeight w:val="316"/>
        </w:trPr>
        <w:tc>
          <w:tcPr>
            <w:tcW w:w="1413" w:type="dxa"/>
            <w:tcBorders>
              <w:top w:val="single" w:sz="4" w:space="0" w:color="auto"/>
              <w:left w:val="single" w:sz="4" w:space="0" w:color="auto"/>
              <w:bottom w:val="single" w:sz="4" w:space="0" w:color="auto"/>
              <w:right w:val="single" w:sz="4" w:space="0" w:color="auto"/>
            </w:tcBorders>
          </w:tcPr>
          <w:p w14:paraId="6CB28EB6" w14:textId="77777777" w:rsidR="00087388" w:rsidRPr="00F1728C" w:rsidRDefault="00087388" w:rsidP="00725D4D">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e</w:t>
            </w:r>
          </w:p>
        </w:tc>
        <w:tc>
          <w:tcPr>
            <w:tcW w:w="7632" w:type="dxa"/>
            <w:tcBorders>
              <w:top w:val="single" w:sz="4" w:space="0" w:color="auto"/>
              <w:left w:val="single" w:sz="4" w:space="0" w:color="auto"/>
              <w:bottom w:val="single" w:sz="4" w:space="0" w:color="auto"/>
              <w:right w:val="single" w:sz="4" w:space="0" w:color="auto"/>
            </w:tcBorders>
          </w:tcPr>
          <w:p w14:paraId="44E6DC23" w14:textId="77777777" w:rsidR="00087388" w:rsidRPr="00F1728C" w:rsidRDefault="00087388" w:rsidP="00725D4D">
            <w:pPr>
              <w:autoSpaceDE w:val="0"/>
              <w:autoSpaceDN w:val="0"/>
              <w:adjustRightInd w:val="0"/>
              <w:spacing w:after="120"/>
              <w:jc w:val="both"/>
              <w:rPr>
                <w:b/>
                <w:spacing w:val="-2"/>
                <w:sz w:val="24"/>
                <w:rFonts w:ascii="Times New Roman" w:hAnsi="Times New Roman" w:cs="Times New Roman"/>
              </w:rPr>
            </w:pPr>
            <w:r>
              <w:rPr>
                <w:b/>
                <w:sz w:val="24"/>
                <w:rFonts w:ascii="Times New Roman" w:hAnsi="Times New Roman"/>
              </w:rPr>
              <w:t xml:space="preserve">Tās kopējās riska darījumu vērtības procentuālā daļa, kam piemēro izvēršanas plānu (%)</w:t>
            </w:r>
          </w:p>
          <w:p w14:paraId="2A8E1233" w14:textId="31914B7D" w:rsidR="00087388" w:rsidRPr="00F1728C" w:rsidRDefault="00087388" w:rsidP="63E31B68">
            <w:pPr>
              <w:autoSpaceDE w:val="0"/>
              <w:autoSpaceDN w:val="0"/>
              <w:adjustRightInd w:val="0"/>
              <w:spacing w:after="120"/>
              <w:jc w:val="both"/>
              <w:rPr>
                <w:spacing w:val="-2"/>
                <w:sz w:val="24"/>
                <w:rFonts w:ascii="Times New Roman" w:hAnsi="Times New Roman" w:cs="Times New Roman"/>
              </w:rPr>
            </w:pPr>
            <w:r>
              <w:rPr>
                <w:sz w:val="24"/>
                <w:rFonts w:ascii="Times New Roman" w:hAnsi="Times New Roman"/>
              </w:rPr>
              <w:t xml:space="preserve">Tā riska darījumu daļa par katru kategoriju, kam piemēro secīgu </w:t>
            </w:r>
            <w:r>
              <w:rPr>
                <w:sz w:val="24"/>
                <w:i/>
                <w:rFonts w:ascii="Times New Roman" w:hAnsi="Times New Roman"/>
              </w:rPr>
              <w:t xml:space="preserve">IRB</w:t>
            </w:r>
            <w:r>
              <w:rPr>
                <w:sz w:val="24"/>
                <w:rFonts w:ascii="Times New Roman" w:hAnsi="Times New Roman"/>
              </w:rPr>
              <w:t xml:space="preserve"> pieejas izmantošanu atbilstoši Regulas (ES) Nr. 575/2013 148. pantam, attiecībā pret kopējiem riska darījumiem attiecīgajā riska darījumu kategorijā, kā norādīts b ailē.</w:t>
            </w:r>
            <w:r>
              <w:rPr>
                <w:sz w:val="24"/>
                <w:rFonts w:ascii="Times New Roman" w:hAnsi="Times New Roman"/>
              </w:rPr>
              <w:t xml:space="preserve"> </w:t>
            </w:r>
            <w:r>
              <w:rPr>
                <w:sz w:val="24"/>
                <w:rFonts w:ascii="Times New Roman" w:hAnsi="Times New Roman"/>
              </w:rPr>
              <w:t xml:space="preserve">Minētais ietver:</w:t>
            </w:r>
          </w:p>
          <w:p w14:paraId="0A7D52D7" w14:textId="6EBCC2D4" w:rsidR="00087388" w:rsidRPr="00F1728C" w:rsidRDefault="00087388" w:rsidP="00087388">
            <w:pPr>
              <w:pStyle w:val="ListParagraph"/>
              <w:numPr>
                <w:ilvl w:val="0"/>
                <w:numId w:val="3"/>
              </w:numPr>
              <w:autoSpaceDE w:val="0"/>
              <w:autoSpaceDN w:val="0"/>
              <w:adjustRightInd w:val="0"/>
              <w:spacing w:after="120"/>
              <w:jc w:val="both"/>
              <w:rPr>
                <w:spacing w:val="-2"/>
                <w:sz w:val="24"/>
                <w:rFonts w:ascii="Times New Roman" w:hAnsi="Times New Roman"/>
              </w:rPr>
            </w:pPr>
            <w:r>
              <w:rPr>
                <w:sz w:val="24"/>
                <w:rFonts w:ascii="Times New Roman" w:hAnsi="Times New Roman"/>
              </w:rPr>
              <w:t xml:space="preserve">riska darījumus neatkarīgi no tā, vai iestādes attiecībā uz tiem plāno piemērot </w:t>
            </w:r>
            <w:r>
              <w:rPr>
                <w:sz w:val="24"/>
                <w:i/>
                <w:rFonts w:ascii="Times New Roman" w:hAnsi="Times New Roman"/>
              </w:rPr>
              <w:t xml:space="preserve">IRB</w:t>
            </w:r>
            <w:r>
              <w:rPr>
                <w:sz w:val="24"/>
                <w:rFonts w:ascii="Times New Roman" w:hAnsi="Times New Roman"/>
              </w:rPr>
              <w:t xml:space="preserve"> pieeju ar savu </w:t>
            </w:r>
            <w:r>
              <w:rPr>
                <w:sz w:val="24"/>
                <w:i/>
                <w:rFonts w:ascii="Times New Roman" w:hAnsi="Times New Roman"/>
              </w:rPr>
              <w:t xml:space="preserve">LGD</w:t>
            </w:r>
            <w:r>
              <w:rPr>
                <w:sz w:val="24"/>
                <w:rFonts w:ascii="Times New Roman" w:hAnsi="Times New Roman"/>
              </w:rPr>
              <w:t xml:space="preserve"> aplēsi un korekcijas pakāpēm vai bez tām (</w:t>
            </w:r>
            <w:r>
              <w:rPr>
                <w:sz w:val="24"/>
                <w:i/>
                <w:rFonts w:ascii="Times New Roman" w:hAnsi="Times New Roman"/>
              </w:rPr>
              <w:t xml:space="preserve">F-IRB</w:t>
            </w:r>
            <w:r>
              <w:rPr>
                <w:sz w:val="24"/>
                <w:rFonts w:ascii="Times New Roman" w:hAnsi="Times New Roman"/>
              </w:rPr>
              <w:t xml:space="preserve"> un </w:t>
            </w:r>
            <w:r>
              <w:rPr>
                <w:sz w:val="24"/>
                <w:i/>
                <w:rFonts w:ascii="Times New Roman" w:hAnsi="Times New Roman"/>
              </w:rPr>
              <w:t xml:space="preserve">A-IRB</w:t>
            </w:r>
            <w:r>
              <w:rPr>
                <w:sz w:val="24"/>
                <w:rFonts w:ascii="Times New Roman" w:hAnsi="Times New Roman"/>
              </w:rPr>
              <w:t xml:space="preserve">),</w:t>
            </w:r>
          </w:p>
          <w:p w14:paraId="545F55BD" w14:textId="69CA4A75" w:rsidR="00087388" w:rsidRPr="00F1728C" w:rsidRDefault="00087388" w:rsidP="00087388">
            <w:pPr>
              <w:pStyle w:val="ListParagraph"/>
              <w:numPr>
                <w:ilvl w:val="0"/>
                <w:numId w:val="3"/>
              </w:numPr>
              <w:autoSpaceDE w:val="0"/>
              <w:autoSpaceDN w:val="0"/>
              <w:adjustRightInd w:val="0"/>
              <w:spacing w:after="120"/>
              <w:jc w:val="both"/>
              <w:rPr>
                <w:spacing w:val="-2"/>
                <w:sz w:val="24"/>
                <w:rFonts w:ascii="Times New Roman" w:hAnsi="Times New Roman"/>
              </w:rPr>
            </w:pPr>
            <w:r>
              <w:rPr>
                <w:sz w:val="24"/>
                <w:rFonts w:ascii="Times New Roman" w:hAnsi="Times New Roman"/>
              </w:rPr>
              <w:t xml:space="preserve">nebūtiskus kapitāla vērtspapīru riska darījumus, kas nav ietverti šīs veidnes c un d ailē,</w:t>
            </w:r>
          </w:p>
          <w:p w14:paraId="62816ED4" w14:textId="67C0E187" w:rsidR="00087388" w:rsidRPr="00F1728C" w:rsidRDefault="00087388" w:rsidP="00087388">
            <w:pPr>
              <w:pStyle w:val="ListParagraph"/>
              <w:numPr>
                <w:ilvl w:val="0"/>
                <w:numId w:val="3"/>
              </w:numPr>
              <w:autoSpaceDE w:val="0"/>
              <w:autoSpaceDN w:val="0"/>
              <w:adjustRightInd w:val="0"/>
              <w:spacing w:after="120"/>
              <w:jc w:val="both"/>
              <w:rPr>
                <w:spacing w:val="-2"/>
                <w:sz w:val="24"/>
                <w:rFonts w:ascii="Times New Roman" w:hAnsi="Times New Roman"/>
              </w:rPr>
            </w:pPr>
            <w:r>
              <w:rPr>
                <w:sz w:val="24"/>
                <w:rFonts w:ascii="Times New Roman" w:hAnsi="Times New Roman"/>
              </w:rPr>
              <w:t xml:space="preserve">riska darījumus, kuriem jau piemēro </w:t>
            </w:r>
            <w:r>
              <w:rPr>
                <w:sz w:val="24"/>
                <w:i/>
                <w:rFonts w:ascii="Times New Roman" w:hAnsi="Times New Roman"/>
              </w:rPr>
              <w:t xml:space="preserve">F-IRB</w:t>
            </w:r>
            <w:r>
              <w:rPr>
                <w:sz w:val="24"/>
                <w:rFonts w:ascii="Times New Roman" w:hAnsi="Times New Roman"/>
              </w:rPr>
              <w:t xml:space="preserve">, ja iestāde plāno nākotnē piemērot </w:t>
            </w:r>
            <w:r>
              <w:rPr>
                <w:sz w:val="24"/>
                <w:i/>
                <w:rFonts w:ascii="Times New Roman" w:hAnsi="Times New Roman"/>
              </w:rPr>
              <w:t xml:space="preserve">A-IRB</w:t>
            </w:r>
            <w:r>
              <w:rPr>
                <w:sz w:val="24"/>
                <w:rFonts w:ascii="Times New Roman" w:hAnsi="Times New Roman"/>
              </w:rPr>
              <w:t xml:space="preserve">,</w:t>
            </w:r>
          </w:p>
          <w:p w14:paraId="3FD0FBD5" w14:textId="77777777" w:rsidR="00087388" w:rsidRPr="00F1728C" w:rsidRDefault="00087388" w:rsidP="00087388">
            <w:pPr>
              <w:pStyle w:val="ListParagraph"/>
              <w:numPr>
                <w:ilvl w:val="0"/>
                <w:numId w:val="3"/>
              </w:numPr>
              <w:spacing w:after="120"/>
              <w:jc w:val="both"/>
              <w:rPr>
                <w:sz w:val="24"/>
                <w:rFonts w:ascii="Times New Roman" w:hAnsi="Times New Roman"/>
              </w:rPr>
            </w:pPr>
            <w:r>
              <w:rPr>
                <w:sz w:val="24"/>
                <w:rFonts w:ascii="Times New Roman" w:hAnsi="Times New Roman"/>
              </w:rPr>
              <w:t xml:space="preserve">specializētās kreditēšanas riska darījumus atbilstoši uzraudzības grupēšanas pieejai, kas nav ietverti šīs veidnes d ailē.</w:t>
            </w:r>
          </w:p>
        </w:tc>
      </w:tr>
    </w:tbl>
    <w:p w14:paraId="45FB0818" w14:textId="77777777" w:rsidR="00087388" w:rsidRPr="00F1728C" w:rsidRDefault="00087388" w:rsidP="0008738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241D7A38" w14:textId="77777777" w:rsidTr="0F62C19C">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7A522B50" w14:textId="77777777" w:rsidR="00087388" w:rsidRPr="00F1728C" w:rsidRDefault="00087388" w:rsidP="00725D4D">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Rindas numurs</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FE3064" w14:textId="77777777" w:rsidR="00087388" w:rsidRPr="00F1728C" w:rsidRDefault="00087388" w:rsidP="00725D4D">
            <w:pPr>
              <w:spacing w:after="120"/>
              <w:rPr>
                <w:b/>
                <w:sz w:val="24"/>
                <w:rFonts w:ascii="Times New Roman" w:hAnsi="Times New Roman" w:cs="Times New Roman"/>
              </w:rPr>
            </w:pPr>
            <w:r>
              <w:rPr>
                <w:b/>
                <w:sz w:val="24"/>
                <w:rFonts w:ascii="Times New Roman" w:hAnsi="Times New Roman"/>
              </w:rPr>
              <w:t xml:space="preserve">Atsauces uz tiesību aktiem un norādījumi</w:t>
            </w:r>
          </w:p>
        </w:tc>
      </w:tr>
      <w:tr w:rsidR="00087388" w:rsidRPr="00F1728C" w14:paraId="555AFC23" w14:textId="77777777" w:rsidTr="0F62C19C">
        <w:trPr>
          <w:trHeight w:val="403"/>
        </w:trPr>
        <w:tc>
          <w:tcPr>
            <w:tcW w:w="1413" w:type="dxa"/>
            <w:vMerge/>
          </w:tcPr>
          <w:p w14:paraId="049F31CB"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5478F8C7" w14:textId="77777777" w:rsidR="00087388" w:rsidRPr="00F1728C" w:rsidRDefault="00087388" w:rsidP="00725D4D">
            <w:pPr>
              <w:autoSpaceDE w:val="0"/>
              <w:autoSpaceDN w:val="0"/>
              <w:adjustRightInd w:val="0"/>
              <w:spacing w:after="120"/>
              <w:rPr>
                <w:color w:val="000000"/>
                <w:sz w:val="24"/>
                <w:rFonts w:ascii="Times New Roman" w:hAnsi="Times New Roman" w:cs="Times New Roman"/>
              </w:rPr>
            </w:pPr>
            <w:r>
              <w:rPr>
                <w:b/>
                <w:sz w:val="24"/>
                <w:rFonts w:ascii="Times New Roman" w:hAnsi="Times New Roman"/>
              </w:rPr>
              <w:t xml:space="preserve">Paskaidrojums</w:t>
            </w:r>
          </w:p>
        </w:tc>
      </w:tr>
      <w:tr w:rsidR="00087388" w:rsidRPr="00F1728C" w14:paraId="6607530A" w14:textId="77777777" w:rsidTr="0F62C19C">
        <w:trPr>
          <w:trHeight w:val="316"/>
        </w:trPr>
        <w:tc>
          <w:tcPr>
            <w:tcW w:w="1413" w:type="dxa"/>
          </w:tcPr>
          <w:p w14:paraId="4EADCEC8" w14:textId="6D98E609" w:rsidR="00087388" w:rsidRPr="00F1728C" w:rsidRDefault="001505CE" w:rsidP="00725D4D">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1.–8.</w:t>
            </w:r>
          </w:p>
        </w:tc>
        <w:tc>
          <w:tcPr>
            <w:tcW w:w="7654" w:type="dxa"/>
          </w:tcPr>
          <w:p w14:paraId="0461CF21" w14:textId="5CBB5223" w:rsidR="00087388" w:rsidRPr="00F1728C" w:rsidRDefault="01E22573" w:rsidP="0F62C19C">
            <w:pPr>
              <w:spacing w:after="120"/>
              <w:jc w:val="both"/>
              <w:rPr>
                <w:sz w:val="24"/>
                <w:rFonts w:ascii="Times New Roman" w:hAnsi="Times New Roman" w:cs="Times New Roman"/>
              </w:rPr>
            </w:pPr>
            <w:r>
              <w:rPr>
                <w:sz w:val="24"/>
                <w:rFonts w:ascii="Times New Roman" w:hAnsi="Times New Roman"/>
              </w:rPr>
              <w:t xml:space="preserve">Iestādes iekļauj informāciju veidnē CR 6-A sadalījumā pa riska darījumu kategorijām saskaņā ar riska darījumu kategoriju sadalījumu, kas ietverts šīs veidnes rindās.</w:t>
            </w:r>
            <w:r>
              <w:rPr>
                <w:sz w:val="24"/>
                <w:rFonts w:ascii="Times New Roman" w:hAnsi="Times New Roman"/>
              </w:rPr>
              <w:t xml:space="preserve"> </w:t>
            </w:r>
            <w:r>
              <w:rPr>
                <w:sz w:val="24"/>
                <w:rFonts w:ascii="Times New Roman" w:hAnsi="Times New Roman"/>
              </w:rPr>
              <w:t xml:space="preserve">Sīkāku informāciju par riska darījumu kategorijām sk. veidnes EU CR7 – </w:t>
            </w:r>
            <w:r>
              <w:rPr>
                <w:sz w:val="24"/>
                <w:i/>
                <w:rFonts w:ascii="Times New Roman" w:hAnsi="Times New Roman"/>
              </w:rPr>
              <w:t xml:space="preserve">IRB</w:t>
            </w:r>
            <w:r>
              <w:rPr>
                <w:sz w:val="24"/>
                <w:rFonts w:ascii="Times New Roman" w:hAnsi="Times New Roman"/>
              </w:rPr>
              <w:t xml:space="preserve"> pieeja – norādījumos.</w:t>
            </w:r>
          </w:p>
        </w:tc>
      </w:tr>
    </w:tbl>
    <w:p w14:paraId="53128261" w14:textId="77777777" w:rsidR="00087388" w:rsidRPr="00F1728C" w:rsidRDefault="00087388" w:rsidP="00087388">
      <w:pPr>
        <w:spacing w:after="120"/>
        <w:rPr>
          <w:rFonts w:ascii="Times New Roman" w:hAnsi="Times New Roman" w:cs="Times New Roman"/>
          <w:sz w:val="24"/>
        </w:rPr>
      </w:pPr>
    </w:p>
    <w:p w14:paraId="599DF724" w14:textId="77777777" w:rsidR="00087388" w:rsidRPr="00F1728C" w:rsidRDefault="00087388" w:rsidP="00087388">
      <w:pPr>
        <w:spacing w:after="120"/>
        <w:rPr>
          <w:b/>
          <w:sz w:val="24"/>
          <w:rFonts w:ascii="Times New Roman" w:hAnsi="Times New Roman" w:cs="Times New Roman"/>
        </w:rPr>
      </w:pPr>
      <w:r>
        <w:rPr>
          <w:b/>
          <w:sz w:val="24"/>
          <w:rFonts w:ascii="Times New Roman" w:hAnsi="Times New Roman"/>
        </w:rPr>
        <w:t xml:space="preserve">Veidne EU CR7 – </w:t>
      </w:r>
      <w:r>
        <w:rPr>
          <w:b/>
          <w:sz w:val="24"/>
          <w:i/>
          <w:rFonts w:ascii="Times New Roman" w:hAnsi="Times New Roman"/>
        </w:rPr>
        <w:t xml:space="preserve">IRB</w:t>
      </w:r>
      <w:r>
        <w:rPr>
          <w:b/>
          <w:sz w:val="24"/>
          <w:rFonts w:ascii="Times New Roman" w:hAnsi="Times New Roman"/>
        </w:rPr>
        <w:t xml:space="preserve"> pieeja – Kredītu atvasināto instrumentu, ko izmanto kā kredītriska mazināšanas metodes, ietekme uz riska darījumu riska svērto vērtību.</w:t>
      </w:r>
      <w:r>
        <w:rPr>
          <w:b/>
          <w:sz w:val="24"/>
          <w:rFonts w:ascii="Times New Roman" w:hAnsi="Times New Roman"/>
        </w:rPr>
        <w:t xml:space="preserve"> </w:t>
      </w:r>
      <w:r>
        <w:rPr>
          <w:b/>
          <w:sz w:val="24"/>
          <w:rFonts w:ascii="Times New Roman" w:hAnsi="Times New Roman"/>
        </w:rPr>
        <w:t xml:space="preserve">Fiksēta veidne.</w:t>
      </w:r>
    </w:p>
    <w:p w14:paraId="7B6AB97E" w14:textId="6E2C137C" w:rsidR="00087388" w:rsidRPr="00F1728C" w:rsidRDefault="00087388" w:rsidP="63E31B68">
      <w:pPr>
        <w:pStyle w:val="ListParagraph"/>
        <w:numPr>
          <w:ilvl w:val="0"/>
          <w:numId w:val="7"/>
        </w:numPr>
        <w:spacing w:after="120"/>
        <w:jc w:val="both"/>
        <w:rPr>
          <w:sz w:val="24"/>
          <w:szCs w:val="24"/>
          <w:rFonts w:ascii="Times New Roman" w:hAnsi="Times New Roman"/>
        </w:rPr>
      </w:pPr>
      <w:r>
        <w:rPr>
          <w:sz w:val="24"/>
          <w:rFonts w:ascii="Times New Roman" w:hAnsi="Times New Roman"/>
        </w:rPr>
        <w:t xml:space="preserve">Iestādes atklāj Regulas (ES) Nr. 575/2013 453. panta j) punktā minēto informāciju, ievērojot turpmāk šajā pielikumā sniegtos norādījumus, lai aizpildītu EBI IT risinājumu XXI pielikumā ietverto veidni EU CR7.</w:t>
      </w:r>
      <w:r>
        <w:rPr>
          <w:sz w:val="24"/>
          <w:rFonts w:ascii="Times New Roman" w:hAnsi="Times New Roman"/>
        </w:rPr>
        <w:t xml:space="preserve"> </w:t>
      </w:r>
      <w:r>
        <w:rPr>
          <w:sz w:val="24"/>
          <w:rFonts w:ascii="Times New Roman" w:hAnsi="Times New Roman"/>
        </w:rPr>
        <w:t xml:space="preserve">Iestādes papildina veidni ar izklāstu, kurā paskaidro kredīta atvasināto instrumentu ietekmi uz riska darījumu riska svērtajām vērtībām.</w:t>
      </w:r>
      <w:r>
        <w:rPr>
          <w:sz w:val="24"/>
          <w:rFonts w:ascii="Times New Roman" w:hAnsi="Times New Roman"/>
        </w:rPr>
        <w:t xml:space="preserve"> </w:t>
      </w:r>
      <w:r>
        <w:rPr>
          <w:sz w:val="24"/>
          <w:rFonts w:ascii="Times New Roman" w:hAnsi="Times New Roman"/>
        </w:rPr>
        <w:t xml:space="preserve">Šajā veidnē neiekļauj darījuma partnera kredītriska (</w:t>
      </w:r>
      <w:r>
        <w:rPr>
          <w:sz w:val="24"/>
          <w:i/>
          <w:rFonts w:ascii="Times New Roman" w:hAnsi="Times New Roman"/>
        </w:rPr>
        <w:t xml:space="preserve">CCR</w:t>
      </w:r>
      <w:r>
        <w:rPr>
          <w:sz w:val="24"/>
          <w:rFonts w:ascii="Times New Roman" w:hAnsi="Times New Roman"/>
        </w:rPr>
        <w:t xml:space="preserve">) riska darījumus (Regulas (ES) Nr. 575/2013 trešās daļas II sadaļas 6. nodaļa), vērtspapīrošanas riska darījumus, citus aktīvus, kas nav kredītsaistības, riska darījumus ar kolektīvo ieguldījumu uzņēmumiem un kapitāla vērtspapīru riska darījumus.</w:t>
      </w:r>
    </w:p>
    <w:p w14:paraId="62486C05" w14:textId="77777777" w:rsidR="00087388" w:rsidRPr="00F1728C" w:rsidRDefault="00087388" w:rsidP="00087388">
      <w:pPr>
        <w:pStyle w:val="ListParagraph"/>
        <w:spacing w:after="120"/>
        <w:ind w:left="714"/>
        <w:rPr>
          <w:rFonts w:ascii="Times New Roman" w:hAnsi="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3533ABDE" w14:textId="77777777" w:rsidTr="63E31B68">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6C850708" w14:textId="77777777" w:rsidR="00087388" w:rsidRPr="00F1728C" w:rsidRDefault="00087388" w:rsidP="00725D4D">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Atsauce uz aili</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4671C8" w14:textId="77777777" w:rsidR="00087388" w:rsidRPr="00F1728C" w:rsidRDefault="00087388" w:rsidP="00725D4D">
            <w:pPr>
              <w:spacing w:after="120"/>
              <w:rPr>
                <w:b/>
                <w:sz w:val="24"/>
                <w:rFonts w:ascii="Times New Roman" w:hAnsi="Times New Roman" w:cs="Times New Roman"/>
              </w:rPr>
            </w:pPr>
            <w:r>
              <w:rPr>
                <w:b/>
                <w:sz w:val="24"/>
                <w:rFonts w:ascii="Times New Roman" w:hAnsi="Times New Roman"/>
              </w:rPr>
              <w:t xml:space="preserve">Atsauces uz tiesību aktiem un norādījumi</w:t>
            </w:r>
          </w:p>
        </w:tc>
      </w:tr>
      <w:tr w:rsidR="00087388" w:rsidRPr="00F1728C" w14:paraId="5C810547" w14:textId="77777777" w:rsidTr="63E31B68">
        <w:trPr>
          <w:trHeight w:val="741"/>
        </w:trPr>
        <w:tc>
          <w:tcPr>
            <w:tcW w:w="1413" w:type="dxa"/>
            <w:vMerge/>
          </w:tcPr>
          <w:p w14:paraId="4101652C"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76870B61" w14:textId="77777777" w:rsidR="00087388" w:rsidRPr="00F1728C" w:rsidRDefault="00087388" w:rsidP="00725D4D">
            <w:pPr>
              <w:autoSpaceDE w:val="0"/>
              <w:autoSpaceDN w:val="0"/>
              <w:adjustRightInd w:val="0"/>
              <w:spacing w:after="120"/>
              <w:rPr>
                <w:color w:val="000000"/>
                <w:sz w:val="24"/>
                <w:rFonts w:ascii="Times New Roman" w:hAnsi="Times New Roman" w:cs="Times New Roman"/>
              </w:rPr>
            </w:pPr>
            <w:r>
              <w:rPr>
                <w:b/>
                <w:sz w:val="24"/>
                <w:rFonts w:ascii="Times New Roman" w:hAnsi="Times New Roman"/>
              </w:rPr>
              <w:t xml:space="preserve">Paskaidrojums</w:t>
            </w:r>
          </w:p>
        </w:tc>
      </w:tr>
      <w:tr w:rsidR="00087388" w:rsidRPr="00F1728C" w14:paraId="49912972" w14:textId="77777777" w:rsidTr="63E31B68">
        <w:trPr>
          <w:trHeight w:val="316"/>
        </w:trPr>
        <w:tc>
          <w:tcPr>
            <w:tcW w:w="1413" w:type="dxa"/>
          </w:tcPr>
          <w:p w14:paraId="0E995611" w14:textId="77777777" w:rsidR="00087388" w:rsidRPr="00F1728C" w:rsidRDefault="00087388" w:rsidP="00725D4D">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a</w:t>
            </w:r>
          </w:p>
        </w:tc>
        <w:tc>
          <w:tcPr>
            <w:tcW w:w="7654" w:type="dxa"/>
          </w:tcPr>
          <w:p w14:paraId="63722345" w14:textId="77777777" w:rsidR="00087388" w:rsidRPr="00F1728C" w:rsidRDefault="00087388" w:rsidP="00725D4D">
            <w:pPr>
              <w:pStyle w:val="Default"/>
              <w:spacing w:after="120"/>
              <w:rPr>
                <w:b/>
                <w:color w:val="auto"/>
                <w:rFonts w:ascii="Times New Roman" w:hAnsi="Times New Roman" w:cs="Times New Roman"/>
              </w:rPr>
            </w:pPr>
            <w:r>
              <w:rPr>
                <w:b/>
                <w:color w:val="auto"/>
                <w:rFonts w:ascii="Times New Roman" w:hAnsi="Times New Roman"/>
              </w:rPr>
              <w:t xml:space="preserve">Riska darījumu riska svērtā vērtība pirms kredītu atvasinātajiem instrumentiem</w:t>
            </w:r>
          </w:p>
          <w:p w14:paraId="42052019" w14:textId="4A521401" w:rsidR="00087388" w:rsidRPr="00F1728C" w:rsidRDefault="00087388" w:rsidP="00725D4D">
            <w:pPr>
              <w:pStyle w:val="Default"/>
              <w:spacing w:after="120"/>
              <w:rPr>
                <w:rFonts w:ascii="Times New Roman" w:hAnsi="Times New Roman" w:cs="Times New Roman"/>
              </w:rPr>
            </w:pPr>
            <w:r>
              <w:rPr>
                <w:color w:val="auto"/>
                <w:rFonts w:ascii="Times New Roman" w:hAnsi="Times New Roman"/>
              </w:rPr>
              <w:t xml:space="preserve">Riska darījumu hipotētiskā riska svērtā vērtība, kas aprēķināta kā faktiskā </w:t>
            </w:r>
            <w:r>
              <w:rPr>
                <w:color w:val="auto"/>
                <w:i/>
                <w:rFonts w:ascii="Times New Roman" w:hAnsi="Times New Roman"/>
              </w:rPr>
              <w:t xml:space="preserve">RWEA</w:t>
            </w:r>
            <w:r>
              <w:rPr>
                <w:color w:val="auto"/>
                <w:rFonts w:ascii="Times New Roman" w:hAnsi="Times New Roman"/>
              </w:rPr>
              <w:t xml:space="preserve">, pieņemot tikai to, ka kredīta atvasinātais instruments nav atzīts kā riska mazināšanas metode, kā norādīts Regulas (ES) Nr. 575/2013 204. pantā.</w:t>
            </w:r>
            <w:r>
              <w:rPr>
                <w:color w:val="auto"/>
                <w:rFonts w:ascii="Times New Roman" w:hAnsi="Times New Roman"/>
              </w:rPr>
              <w:t xml:space="preserve"> </w:t>
            </w:r>
            <w:r>
              <w:rPr>
                <w:color w:val="auto"/>
                <w:rFonts w:ascii="Times New Roman" w:hAnsi="Times New Roman"/>
              </w:rPr>
              <w:t xml:space="preserve">Vērtības norāda riska darījumu kategorijās, kas ir būtiskas attiecībā uz riska darījumiem ar sākotnējo parādnieku.</w:t>
            </w:r>
          </w:p>
        </w:tc>
      </w:tr>
      <w:tr w:rsidR="00087388" w:rsidRPr="00F1728C" w14:paraId="11D4D0CB" w14:textId="77777777" w:rsidTr="63E31B68">
        <w:trPr>
          <w:trHeight w:val="316"/>
        </w:trPr>
        <w:tc>
          <w:tcPr>
            <w:tcW w:w="1413" w:type="dxa"/>
          </w:tcPr>
          <w:p w14:paraId="71608CFE" w14:textId="77777777" w:rsidR="00087388" w:rsidRPr="00F1728C" w:rsidRDefault="00087388" w:rsidP="00725D4D">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b</w:t>
            </w:r>
          </w:p>
        </w:tc>
        <w:tc>
          <w:tcPr>
            <w:tcW w:w="7654" w:type="dxa"/>
          </w:tcPr>
          <w:p w14:paraId="489B469A" w14:textId="77777777" w:rsidR="00087388" w:rsidRPr="00F1728C" w:rsidRDefault="00087388" w:rsidP="00725D4D">
            <w:pPr>
              <w:spacing w:after="120"/>
              <w:jc w:val="both"/>
              <w:rPr>
                <w:b/>
                <w:sz w:val="24"/>
                <w:rFonts w:ascii="Times New Roman" w:hAnsi="Times New Roman" w:cs="Times New Roman"/>
              </w:rPr>
            </w:pPr>
            <w:r>
              <w:rPr>
                <w:b/>
                <w:sz w:val="24"/>
                <w:rFonts w:ascii="Times New Roman" w:hAnsi="Times New Roman"/>
              </w:rPr>
              <w:t xml:space="preserve">Riska darījumu faktiskā riska svērtā vērtība</w:t>
            </w:r>
          </w:p>
          <w:p w14:paraId="414E9D56" w14:textId="77777777" w:rsidR="00087388" w:rsidRPr="00F1728C" w:rsidRDefault="00087388" w:rsidP="00725D4D">
            <w:pPr>
              <w:spacing w:after="120"/>
              <w:jc w:val="both"/>
              <w:rPr>
                <w:sz w:val="24"/>
                <w:rFonts w:ascii="Times New Roman" w:hAnsi="Times New Roman" w:cs="Times New Roman"/>
              </w:rPr>
            </w:pPr>
            <w:r>
              <w:rPr>
                <w:sz w:val="24"/>
                <w:rFonts w:ascii="Times New Roman" w:hAnsi="Times New Roman"/>
              </w:rPr>
              <w:t xml:space="preserve">Riska darījumu riska svērtā vērtība, kas aprēķināta, ņemot vērā kredītu atvasināto instrumentu ietekmi.</w:t>
            </w:r>
            <w:r>
              <w:rPr>
                <w:sz w:val="24"/>
                <w:rFonts w:ascii="Times New Roman" w:hAnsi="Times New Roman"/>
              </w:rPr>
              <w:t xml:space="preserve"> </w:t>
            </w:r>
            <w:r>
              <w:rPr>
                <w:sz w:val="24"/>
                <w:rFonts w:ascii="Times New Roman" w:hAnsi="Times New Roman"/>
              </w:rPr>
              <w:t xml:space="preserve">Ja iestādes aizstāj parādnieka riska pakāpi vai riska parametrus ar aizsardzības devēja riska pakāpi vai riska parametriem, riska darījumu riska svērtās vērtības norāda riska darījumu kategorijā, kas ir būtiska attiecībā uz tiešajiem riska darījumiem ar aizsardzības devēju.</w:t>
            </w:r>
          </w:p>
        </w:tc>
      </w:tr>
    </w:tbl>
    <w:p w14:paraId="4B99056E" w14:textId="77777777" w:rsidR="00087388" w:rsidRPr="00F1728C" w:rsidRDefault="00087388" w:rsidP="0008738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6F906D2B" w14:textId="77777777" w:rsidTr="0F62C19C">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D8C9DC6" w14:textId="77777777" w:rsidR="00087388" w:rsidRPr="00F1728C" w:rsidRDefault="00087388" w:rsidP="00725D4D">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Atsauce uz rindu</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ECF57C" w14:textId="77777777" w:rsidR="00087388" w:rsidRPr="00F1728C" w:rsidRDefault="00087388" w:rsidP="00725D4D">
            <w:pPr>
              <w:spacing w:after="120"/>
              <w:rPr>
                <w:b/>
                <w:sz w:val="24"/>
                <w:rFonts w:ascii="Times New Roman" w:hAnsi="Times New Roman" w:cs="Times New Roman"/>
              </w:rPr>
            </w:pPr>
            <w:r>
              <w:rPr>
                <w:b/>
                <w:sz w:val="24"/>
                <w:rFonts w:ascii="Times New Roman" w:hAnsi="Times New Roman"/>
              </w:rPr>
              <w:t xml:space="preserve">Atsauces uz tiesību aktiem un norādījumi</w:t>
            </w:r>
          </w:p>
        </w:tc>
      </w:tr>
      <w:tr w:rsidR="00087388" w:rsidRPr="00F1728C" w14:paraId="32F2159D" w14:textId="77777777" w:rsidTr="0F62C19C">
        <w:trPr>
          <w:trHeight w:val="741"/>
        </w:trPr>
        <w:tc>
          <w:tcPr>
            <w:tcW w:w="1413" w:type="dxa"/>
            <w:vMerge/>
          </w:tcPr>
          <w:p w14:paraId="1299C43A"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10D3B80B" w14:textId="77777777" w:rsidR="00087388" w:rsidRPr="00F1728C" w:rsidRDefault="00087388" w:rsidP="00725D4D">
            <w:pPr>
              <w:autoSpaceDE w:val="0"/>
              <w:autoSpaceDN w:val="0"/>
              <w:adjustRightInd w:val="0"/>
              <w:spacing w:after="120"/>
              <w:rPr>
                <w:color w:val="000000"/>
                <w:sz w:val="24"/>
                <w:rFonts w:ascii="Times New Roman" w:hAnsi="Times New Roman" w:cs="Times New Roman"/>
              </w:rPr>
            </w:pPr>
            <w:r>
              <w:rPr>
                <w:b/>
                <w:sz w:val="24"/>
                <w:rFonts w:ascii="Times New Roman" w:hAnsi="Times New Roman"/>
              </w:rPr>
              <w:t xml:space="preserve">Paskaidrojums</w:t>
            </w:r>
          </w:p>
        </w:tc>
      </w:tr>
      <w:tr w:rsidR="00087388" w:rsidRPr="00F1728C" w14:paraId="474BA759" w14:textId="77777777" w:rsidTr="0F62C19C">
        <w:trPr>
          <w:trHeight w:val="316"/>
        </w:trPr>
        <w:tc>
          <w:tcPr>
            <w:tcW w:w="1413" w:type="dxa"/>
          </w:tcPr>
          <w:p w14:paraId="7EF76B82" w14:textId="59124E5B" w:rsidR="00087388" w:rsidRPr="000A6489" w:rsidRDefault="01E22573" w:rsidP="0F62C19C">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1., EU 1.a, EU 1.b, 2., EU 2.a, EU 2.b, 3., 5., EU 5.a, EU 5.b, EU 5.c, 6., EU 6.a, EU 6.b, EU 6.c, EU 8.a, 9., 10., EU 10.a, EU 10.b, 17., 18</w:t>
            </w:r>
            <w:r>
              <w:rPr>
                <w:sz w:val="24"/>
                <w:rFonts w:ascii="Times New Roman" w:hAnsi="Times New Roman"/>
              </w:rPr>
              <w:t xml:space="preserve"> </w:t>
            </w:r>
          </w:p>
        </w:tc>
        <w:tc>
          <w:tcPr>
            <w:tcW w:w="7654" w:type="dxa"/>
          </w:tcPr>
          <w:p w14:paraId="42115022" w14:textId="77777777" w:rsidR="005C42F4" w:rsidRDefault="01E22573" w:rsidP="00725D4D">
            <w:pPr>
              <w:pStyle w:val="Default"/>
              <w:spacing w:after="120"/>
              <w:jc w:val="both"/>
              <w:rPr>
                <w:color w:val="auto"/>
                <w:rFonts w:ascii="Times New Roman" w:hAnsi="Times New Roman" w:cs="Times New Roman"/>
              </w:rPr>
            </w:pPr>
            <w:r>
              <w:rPr>
                <w:rFonts w:ascii="Times New Roman" w:hAnsi="Times New Roman"/>
              </w:rPr>
              <w:t xml:space="preserve">Iestādes iekļauj riska darījumu riska svērto vērtību pirms kredītu atvasinātajiem instrumentiem un riska darījumu faktiskā riska svērto vērtību sadalījumā pa riska darījumu kategorijām atbilstoši riska darījumu kategorijām un apakškategorijām, kas uzskaitītas Regulas (ES) Nr. 575/2013 147. panta 2. punktā, un atsevišķi par riska darījumiem, kuriem piemēro </w:t>
            </w:r>
            <w:r>
              <w:rPr>
                <w:i/>
                <w:rFonts w:ascii="Times New Roman" w:hAnsi="Times New Roman"/>
              </w:rPr>
              <w:t xml:space="preserve">F-IRB</w:t>
            </w:r>
            <w:r>
              <w:rPr>
                <w:rFonts w:ascii="Times New Roman" w:hAnsi="Times New Roman"/>
              </w:rPr>
              <w:t xml:space="preserve"> pieeju, un riska darījumiem, kuriem piemēro </w:t>
            </w:r>
            <w:r>
              <w:rPr>
                <w:i/>
                <w:rFonts w:ascii="Times New Roman" w:hAnsi="Times New Roman"/>
              </w:rPr>
              <w:t xml:space="preserve">A-IRB</w:t>
            </w:r>
            <w:r>
              <w:rPr>
                <w:rFonts w:ascii="Times New Roman" w:hAnsi="Times New Roman"/>
              </w:rPr>
              <w:t xml:space="preserve"> pieeju</w:t>
            </w:r>
            <w:r>
              <w:rPr>
                <w:color w:val="auto"/>
                <w:rFonts w:ascii="Times New Roman" w:hAnsi="Times New Roman"/>
              </w:rPr>
              <w:t xml:space="preserve">.</w:t>
            </w:r>
            <w:r>
              <w:rPr>
                <w:color w:val="auto"/>
                <w:rFonts w:ascii="Times New Roman" w:hAnsi="Times New Roman"/>
              </w:rPr>
              <w:t xml:space="preserve"> </w:t>
            </w:r>
          </w:p>
          <w:p w14:paraId="2FECA712" w14:textId="7FE9A950" w:rsidR="00087388" w:rsidRPr="00F1728C" w:rsidRDefault="01E22573" w:rsidP="00725D4D">
            <w:pPr>
              <w:pStyle w:val="Default"/>
              <w:spacing w:after="120"/>
              <w:jc w:val="both"/>
              <w:rPr>
                <w:color w:val="auto"/>
                <w:rFonts w:ascii="Times New Roman" w:hAnsi="Times New Roman" w:cs="Times New Roman"/>
              </w:rPr>
            </w:pPr>
            <w:r>
              <w:rPr>
                <w:color w:val="auto"/>
                <w:rFonts w:ascii="Times New Roman" w:hAnsi="Times New Roman"/>
              </w:rPr>
              <w:t xml:space="preserve">Iestādes atklāj šīs veidnes 17. un 18. rindā starpsummas par </w:t>
            </w:r>
            <w:r>
              <w:rPr>
                <w:color w:val="auto"/>
                <w:i/>
                <w:rFonts w:ascii="Times New Roman" w:hAnsi="Times New Roman"/>
              </w:rPr>
              <w:t xml:space="preserve">F-IRB</w:t>
            </w:r>
            <w:r>
              <w:rPr>
                <w:color w:val="auto"/>
                <w:rFonts w:ascii="Times New Roman" w:hAnsi="Times New Roman"/>
              </w:rPr>
              <w:t xml:space="preserve"> riska darījumiem un </w:t>
            </w:r>
            <w:r>
              <w:rPr>
                <w:color w:val="auto"/>
                <w:i/>
                <w:rFonts w:ascii="Times New Roman" w:hAnsi="Times New Roman"/>
              </w:rPr>
              <w:t xml:space="preserve">A-IRB</w:t>
            </w:r>
            <w:r>
              <w:rPr>
                <w:color w:val="auto"/>
                <w:rFonts w:ascii="Times New Roman" w:hAnsi="Times New Roman"/>
              </w:rPr>
              <w:t xml:space="preserve"> riska darījumiem.</w:t>
            </w:r>
          </w:p>
          <w:p w14:paraId="27A0B0E7" w14:textId="5BE819C5" w:rsidR="00087388" w:rsidRPr="00F1728C" w:rsidRDefault="00087388" w:rsidP="00725D4D">
            <w:pPr>
              <w:autoSpaceDE w:val="0"/>
              <w:autoSpaceDN w:val="0"/>
              <w:adjustRightInd w:val="0"/>
              <w:spacing w:after="120"/>
              <w:ind w:left="720"/>
              <w:jc w:val="both"/>
              <w:rPr>
                <w:rFonts w:ascii="Times New Roman" w:hAnsi="Times New Roman" w:cs="Times New Roman"/>
                <w:sz w:val="24"/>
              </w:rPr>
            </w:pPr>
          </w:p>
        </w:tc>
      </w:tr>
      <w:tr w:rsidR="00B77F1A" w:rsidRPr="00F1728C" w14:paraId="1ADA600A" w14:textId="77777777" w:rsidTr="0F62C19C">
        <w:trPr>
          <w:trHeight w:val="316"/>
        </w:trPr>
        <w:tc>
          <w:tcPr>
            <w:tcW w:w="1413" w:type="dxa"/>
          </w:tcPr>
          <w:p w14:paraId="4DDBEF00" w14:textId="2664BDEA" w:rsidR="00B77F1A" w:rsidRPr="00F1728C" w:rsidRDefault="00E65AFD" w:rsidP="00725D4D">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5.</w:t>
            </w:r>
            <w:r>
              <w:rPr>
                <w:sz w:val="24"/>
                <w:rFonts w:ascii="Times New Roman" w:hAnsi="Times New Roman"/>
              </w:rPr>
              <w:t xml:space="preserve"> </w:t>
            </w:r>
          </w:p>
        </w:tc>
        <w:tc>
          <w:tcPr>
            <w:tcW w:w="7654" w:type="dxa"/>
          </w:tcPr>
          <w:p w14:paraId="49FF129C" w14:textId="77777777" w:rsidR="001505CE" w:rsidRPr="000A6489" w:rsidRDefault="00B77F1A" w:rsidP="0F62C19C">
            <w:pPr>
              <w:pStyle w:val="Default"/>
              <w:spacing w:after="120"/>
              <w:jc w:val="both"/>
              <w:rPr>
                <w:b/>
                <w:bCs/>
                <w:rFonts w:ascii="Times New Roman" w:eastAsia="Times New Roman" w:hAnsi="Times New Roman" w:cs="Times New Roman"/>
              </w:rPr>
            </w:pPr>
            <w:r>
              <w:rPr>
                <w:b/>
                <w:rFonts w:ascii="Times New Roman" w:hAnsi="Times New Roman"/>
              </w:rPr>
              <w:t xml:space="preserve">Komercsabiedrības – </w:t>
            </w:r>
            <w:r>
              <w:rPr>
                <w:b/>
                <w:i/>
                <w:rFonts w:ascii="Times New Roman" w:hAnsi="Times New Roman"/>
              </w:rPr>
              <w:t xml:space="preserve">F-IRB</w:t>
            </w:r>
          </w:p>
          <w:p w14:paraId="2F95F6BA" w14:textId="7231863C" w:rsidR="00B77F1A" w:rsidRPr="00F1728C" w:rsidRDefault="001505CE" w:rsidP="0F62C19C">
            <w:pPr>
              <w:pStyle w:val="Default"/>
              <w:spacing w:after="120"/>
              <w:jc w:val="both"/>
              <w:rPr>
                <w:rFonts w:ascii="Times New Roman" w:eastAsia="Times New Roman" w:hAnsi="Times New Roman" w:cs="Times New Roman"/>
              </w:rPr>
            </w:pPr>
            <w:r>
              <w:rPr>
                <w:rFonts w:ascii="Times New Roman" w:hAnsi="Times New Roman"/>
              </w:rPr>
              <w:t xml:space="preserve">EU 5.a, EU 5.b, EU 5.c rindā norādīto riska darījumu vērtības summa.</w:t>
            </w:r>
          </w:p>
        </w:tc>
      </w:tr>
      <w:tr w:rsidR="00466600" w:rsidRPr="00F1728C" w14:paraId="134EC7D3" w14:textId="77777777" w:rsidTr="0F62C19C">
        <w:trPr>
          <w:trHeight w:val="316"/>
        </w:trPr>
        <w:tc>
          <w:tcPr>
            <w:tcW w:w="1413" w:type="dxa"/>
          </w:tcPr>
          <w:p w14:paraId="12F8CE7D" w14:textId="161B207A" w:rsidR="00466600" w:rsidRPr="00F1728C" w:rsidRDefault="004E2633" w:rsidP="0F62C19C">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6.</w:t>
            </w:r>
          </w:p>
        </w:tc>
        <w:tc>
          <w:tcPr>
            <w:tcW w:w="7654" w:type="dxa"/>
          </w:tcPr>
          <w:p w14:paraId="166D59A5" w14:textId="77777777" w:rsidR="001505CE" w:rsidRPr="000A6489" w:rsidRDefault="004E2633" w:rsidP="0F62C19C">
            <w:pPr>
              <w:pStyle w:val="Default"/>
              <w:spacing w:after="120"/>
              <w:jc w:val="both"/>
              <w:rPr>
                <w:b/>
                <w:bCs/>
                <w:rFonts w:ascii="Times New Roman" w:eastAsia="Times New Roman" w:hAnsi="Times New Roman" w:cs="Times New Roman"/>
              </w:rPr>
            </w:pPr>
            <w:r>
              <w:rPr>
                <w:b/>
                <w:rFonts w:ascii="Times New Roman" w:hAnsi="Times New Roman"/>
              </w:rPr>
              <w:t xml:space="preserve">Komercsabiedrības – </w:t>
            </w:r>
            <w:r>
              <w:rPr>
                <w:b/>
                <w:i/>
                <w:rFonts w:ascii="Times New Roman" w:hAnsi="Times New Roman"/>
              </w:rPr>
              <w:t xml:space="preserve">A-IRB</w:t>
            </w:r>
          </w:p>
          <w:p w14:paraId="6C6DC143" w14:textId="68A82C81" w:rsidR="00725D4D" w:rsidRPr="00F1728C" w:rsidRDefault="001505CE" w:rsidP="0F62C19C">
            <w:pPr>
              <w:pStyle w:val="Default"/>
              <w:spacing w:after="120"/>
              <w:jc w:val="both"/>
              <w:rPr>
                <w:rFonts w:ascii="Times New Roman" w:eastAsia="Times New Roman" w:hAnsi="Times New Roman" w:cs="Times New Roman"/>
              </w:rPr>
            </w:pPr>
            <w:r>
              <w:rPr>
                <w:rFonts w:ascii="Times New Roman" w:hAnsi="Times New Roman"/>
              </w:rPr>
              <w:t xml:space="preserve">EU 6.a, EU 6.b, EU 6.c rindā norādīto riska darījumu vērtības summa.</w:t>
            </w:r>
            <w:r>
              <w:rPr>
                <w:rFonts w:ascii="Times New Roman" w:hAnsi="Times New Roman"/>
              </w:rPr>
              <w:t xml:space="preserve"> </w:t>
            </w:r>
          </w:p>
        </w:tc>
      </w:tr>
      <w:tr w:rsidR="001E1AE0" w:rsidRPr="00F1728C" w14:paraId="3596E494" w14:textId="77777777" w:rsidTr="0F62C19C">
        <w:trPr>
          <w:trHeight w:val="316"/>
        </w:trPr>
        <w:tc>
          <w:tcPr>
            <w:tcW w:w="1413" w:type="dxa"/>
          </w:tcPr>
          <w:p w14:paraId="3461D779" w14:textId="31BE3BED" w:rsidR="001E1AE0" w:rsidRPr="00F1728C" w:rsidRDefault="00170359" w:rsidP="00725D4D">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EU 8.a</w:t>
            </w:r>
          </w:p>
        </w:tc>
        <w:tc>
          <w:tcPr>
            <w:tcW w:w="7654" w:type="dxa"/>
          </w:tcPr>
          <w:p w14:paraId="5EC39BD9" w14:textId="77777777" w:rsidR="001505CE" w:rsidRPr="000A6489" w:rsidRDefault="002C7F1A">
            <w:pPr>
              <w:autoSpaceDE w:val="0"/>
              <w:autoSpaceDN w:val="0"/>
              <w:adjustRightInd w:val="0"/>
              <w:spacing w:after="120"/>
              <w:jc w:val="both"/>
              <w:rPr>
                <w:b/>
                <w:bCs/>
                <w:rFonts w:ascii="Times New Roman" w:eastAsia="Times New Roman" w:hAnsi="Times New Roman" w:cs="Times New Roman"/>
              </w:rPr>
            </w:pPr>
            <w:r>
              <w:rPr>
                <w:b/>
                <w:rFonts w:ascii="Times New Roman" w:hAnsi="Times New Roman"/>
              </w:rPr>
              <w:t xml:space="preserve">Privātpersonas un MVU – </w:t>
            </w:r>
            <w:r>
              <w:rPr>
                <w:b/>
                <w:i/>
                <w:rFonts w:ascii="Times New Roman" w:hAnsi="Times New Roman"/>
              </w:rPr>
              <w:t xml:space="preserve">A-IRB</w:t>
            </w:r>
          </w:p>
          <w:p w14:paraId="20E57CB1" w14:textId="16C051F8" w:rsidR="001E1AE0" w:rsidRPr="00F1728C" w:rsidRDefault="001505CE" w:rsidP="000A6489">
            <w:pPr>
              <w:autoSpaceDE w:val="0"/>
              <w:autoSpaceDN w:val="0"/>
              <w:adjustRightInd w:val="0"/>
              <w:spacing w:after="120"/>
              <w:jc w:val="both"/>
              <w:rPr>
                <w:rFonts w:ascii="Times New Roman" w:eastAsia="Times New Roman" w:hAnsi="Times New Roman" w:cs="Times New Roman"/>
              </w:rPr>
            </w:pPr>
            <w:r>
              <w:rPr>
                <w:rFonts w:ascii="Times New Roman" w:hAnsi="Times New Roman"/>
              </w:rPr>
              <w:t xml:space="preserve">9., 10., EU 10.a, EU 10.b rindā norādīto riska darījumu vērtības summa.</w:t>
            </w:r>
          </w:p>
        </w:tc>
      </w:tr>
      <w:tr w:rsidR="00087388" w:rsidRPr="00F34968" w14:paraId="163D0C9E" w14:textId="77777777" w:rsidTr="0F62C19C">
        <w:trPr>
          <w:trHeight w:val="316"/>
        </w:trPr>
        <w:tc>
          <w:tcPr>
            <w:tcW w:w="1413" w:type="dxa"/>
          </w:tcPr>
          <w:p w14:paraId="446DE71A" w14:textId="6B15494B" w:rsidR="00087388" w:rsidRPr="00F1728C" w:rsidRDefault="7E7B1D6B">
            <w:pPr>
              <w:spacing w:after="120"/>
              <w:jc w:val="both"/>
              <w:rPr>
                <w:sz w:val="24"/>
                <w:rFonts w:ascii="Times New Roman" w:eastAsia="Times New Roman" w:hAnsi="Times New Roman" w:cs="Times New Roman"/>
              </w:rPr>
            </w:pPr>
            <w:r>
              <w:rPr>
                <w:sz w:val="24"/>
                <w:rFonts w:ascii="Times New Roman" w:hAnsi="Times New Roman"/>
              </w:rPr>
              <w:t xml:space="preserve">19.</w:t>
            </w:r>
          </w:p>
        </w:tc>
        <w:tc>
          <w:tcPr>
            <w:tcW w:w="7654" w:type="dxa"/>
          </w:tcPr>
          <w:p w14:paraId="54C536E7" w14:textId="4BDADB71" w:rsidR="00087388" w:rsidRPr="00F1728C" w:rsidRDefault="00087388" w:rsidP="00725D4D">
            <w:pPr>
              <w:spacing w:after="120"/>
              <w:jc w:val="both"/>
              <w:rPr>
                <w:sz w:val="24"/>
                <w:rFonts w:ascii="Times New Roman" w:hAnsi="Times New Roman" w:cs="Times New Roman"/>
              </w:rPr>
            </w:pPr>
            <w:r>
              <w:rPr>
                <w:sz w:val="24"/>
                <w:b/>
                <w:rFonts w:ascii="Times New Roman" w:hAnsi="Times New Roman"/>
              </w:rPr>
              <w:t xml:space="preserve">Riska darījumi kopā</w:t>
            </w:r>
            <w:r>
              <w:rPr>
                <w:sz w:val="24"/>
                <w:rFonts w:ascii="Times New Roman" w:hAnsi="Times New Roman"/>
              </w:rPr>
              <w:t xml:space="preserve"> </w:t>
            </w:r>
          </w:p>
          <w:p w14:paraId="4E4B221A" w14:textId="77777777" w:rsidR="000264F8" w:rsidRDefault="00087388" w:rsidP="00725D4D">
            <w:pPr>
              <w:spacing w:after="120"/>
              <w:jc w:val="both"/>
              <w:rPr>
                <w:sz w:val="24"/>
                <w:rFonts w:ascii="Times New Roman" w:hAnsi="Times New Roman" w:cs="Times New Roman"/>
              </w:rPr>
            </w:pPr>
            <w:r>
              <w:rPr>
                <w:sz w:val="24"/>
                <w:rFonts w:ascii="Times New Roman" w:hAnsi="Times New Roman"/>
              </w:rPr>
              <w:t xml:space="preserve">Kopējā riska darījumu riska svērtā vērtība pirms kredītu atvasinātajiem instrumentiem un kopējā riska darījumu faktiskā riska svērtā vērtība par visiem </w:t>
            </w:r>
            <w:r>
              <w:rPr>
                <w:sz w:val="24"/>
                <w:i/>
                <w:rFonts w:ascii="Times New Roman" w:hAnsi="Times New Roman"/>
              </w:rPr>
              <w:t xml:space="preserve">IRB</w:t>
            </w:r>
            <w:r>
              <w:rPr>
                <w:sz w:val="24"/>
                <w:rFonts w:ascii="Times New Roman" w:hAnsi="Times New Roman"/>
              </w:rPr>
              <w:t xml:space="preserve"> riska darījumiem (tajā skaitā </w:t>
            </w:r>
            <w:r>
              <w:rPr>
                <w:sz w:val="24"/>
                <w:i/>
                <w:rFonts w:ascii="Times New Roman" w:hAnsi="Times New Roman"/>
              </w:rPr>
              <w:t xml:space="preserve">F-IRB</w:t>
            </w:r>
            <w:r>
              <w:rPr>
                <w:sz w:val="24"/>
                <w:rFonts w:ascii="Times New Roman" w:hAnsi="Times New Roman"/>
              </w:rPr>
              <w:t xml:space="preserve"> un </w:t>
            </w:r>
            <w:r>
              <w:rPr>
                <w:sz w:val="24"/>
                <w:i/>
                <w:rFonts w:ascii="Times New Roman" w:hAnsi="Times New Roman"/>
              </w:rPr>
              <w:t xml:space="preserve">A-IRB</w:t>
            </w:r>
            <w:r>
              <w:rPr>
                <w:sz w:val="24"/>
                <w:rFonts w:ascii="Times New Roman" w:hAnsi="Times New Roman"/>
              </w:rPr>
              <w:t xml:space="preserve">).</w:t>
            </w:r>
            <w:r>
              <w:rPr>
                <w:sz w:val="24"/>
                <w:rFonts w:ascii="Times New Roman" w:hAnsi="Times New Roman"/>
              </w:rPr>
              <w:t xml:space="preserve"> </w:t>
            </w:r>
          </w:p>
          <w:p w14:paraId="472ACCEE" w14:textId="52317465" w:rsidR="00087388" w:rsidRPr="000A6489" w:rsidRDefault="00E60EAB" w:rsidP="00725D4D">
            <w:pPr>
              <w:spacing w:after="120"/>
              <w:jc w:val="both"/>
              <w:rPr>
                <w:sz w:val="24"/>
                <w:rFonts w:ascii="Times New Roman" w:hAnsi="Times New Roman" w:cs="Times New Roman"/>
              </w:rPr>
            </w:pPr>
            <w:r>
              <w:rPr>
                <w:sz w:val="24"/>
                <w:rFonts w:ascii="Times New Roman" w:hAnsi="Times New Roman"/>
              </w:rPr>
              <w:t xml:space="preserve">1., EU 1.a, EU 1.b, 2., EU 2.a, EU 2.b, 3., 5., 6., EU 8.a rindā norādīto riska darījumu vērtības summa.</w:t>
            </w:r>
            <w:r>
              <w:rPr>
                <w:sz w:val="24"/>
                <w:rFonts w:ascii="Times New Roman" w:hAnsi="Times New Roman"/>
              </w:rPr>
              <w:t xml:space="preserve"> </w:t>
            </w:r>
          </w:p>
        </w:tc>
      </w:tr>
    </w:tbl>
    <w:p w14:paraId="0FB78278" w14:textId="77777777" w:rsidR="00087388" w:rsidRPr="000A6489" w:rsidRDefault="00087388" w:rsidP="00087388">
      <w:pPr>
        <w:spacing w:after="120"/>
        <w:rPr>
          <w:rFonts w:ascii="Times New Roman" w:hAnsi="Times New Roman" w:cs="Times New Roman"/>
          <w:sz w:val="24"/>
          <w:lang w:val="fr-FR"/>
        </w:rPr>
      </w:pPr>
    </w:p>
    <w:p w14:paraId="03923879" w14:textId="26214CE1" w:rsidR="00087388" w:rsidRPr="00F1728C" w:rsidRDefault="00087388" w:rsidP="00087388">
      <w:pPr>
        <w:spacing w:after="120"/>
        <w:rPr>
          <w:b/>
          <w:sz w:val="24"/>
          <w:rFonts w:ascii="Times New Roman" w:hAnsi="Times New Roman" w:cs="Times New Roman"/>
        </w:rPr>
      </w:pPr>
      <w:r>
        <w:rPr>
          <w:b/>
          <w:sz w:val="24"/>
          <w:rFonts w:ascii="Times New Roman" w:hAnsi="Times New Roman"/>
        </w:rPr>
        <w:t xml:space="preserve">Veidne EU CR7-A – </w:t>
      </w:r>
      <w:r>
        <w:rPr>
          <w:b/>
          <w:sz w:val="24"/>
          <w:i/>
          <w:rFonts w:ascii="Times New Roman" w:hAnsi="Times New Roman"/>
        </w:rPr>
        <w:t xml:space="preserve">IRB</w:t>
      </w:r>
      <w:r>
        <w:rPr>
          <w:b/>
          <w:sz w:val="24"/>
          <w:rFonts w:ascii="Times New Roman" w:hAnsi="Times New Roman"/>
        </w:rPr>
        <w:t xml:space="preserve"> pieeja – informācijas atklāšana par kredītriska mazināšanas metožu izmantošanas apmēru.</w:t>
      </w:r>
      <w:r>
        <w:rPr>
          <w:b/>
          <w:sz w:val="24"/>
          <w:rFonts w:ascii="Times New Roman" w:hAnsi="Times New Roman"/>
        </w:rPr>
        <w:t xml:space="preserve"> </w:t>
      </w:r>
    </w:p>
    <w:p w14:paraId="5CDB174B" w14:textId="51DDF066" w:rsidR="009A30F2" w:rsidRPr="00F1728C" w:rsidRDefault="00087388" w:rsidP="11F50173">
      <w:pPr>
        <w:pStyle w:val="ListParagraph"/>
        <w:numPr>
          <w:ilvl w:val="0"/>
          <w:numId w:val="7"/>
        </w:numPr>
        <w:spacing w:after="120"/>
        <w:ind w:left="714" w:hanging="357"/>
        <w:jc w:val="both"/>
        <w:rPr>
          <w:sz w:val="24"/>
          <w:szCs w:val="24"/>
          <w:rFonts w:ascii="Times New Roman" w:hAnsi="Times New Roman"/>
        </w:rPr>
      </w:pPr>
      <w:r>
        <w:rPr>
          <w:sz w:val="24"/>
          <w:rFonts w:ascii="Times New Roman" w:hAnsi="Times New Roman"/>
        </w:rPr>
        <w:t xml:space="preserve">Iestādes atklāj Regulas (ES) Nr. 575/2013 453. panta g) punktā minēto informāciju atsevišķi par riska darījumiem, kam piemēro </w:t>
      </w:r>
      <w:r>
        <w:rPr>
          <w:sz w:val="24"/>
          <w:i/>
          <w:rFonts w:ascii="Times New Roman" w:hAnsi="Times New Roman"/>
        </w:rPr>
        <w:t xml:space="preserve">A-IRB</w:t>
      </w:r>
      <w:r>
        <w:rPr>
          <w:sz w:val="24"/>
          <w:rFonts w:ascii="Times New Roman" w:hAnsi="Times New Roman"/>
        </w:rPr>
        <w:t xml:space="preserve"> un </w:t>
      </w:r>
      <w:r>
        <w:rPr>
          <w:sz w:val="24"/>
          <w:i/>
          <w:rFonts w:ascii="Times New Roman" w:hAnsi="Times New Roman"/>
        </w:rPr>
        <w:t xml:space="preserve">F-IRB</w:t>
      </w:r>
      <w:r>
        <w:rPr>
          <w:sz w:val="24"/>
          <w:rFonts w:ascii="Times New Roman" w:hAnsi="Times New Roman"/>
        </w:rPr>
        <w:t xml:space="preserve">, ievērojot turpmāk šajā pielikumā sniegtos norādījumus, lai aizpildītu EBI IT risinājumu XXI pielikumā ietverto veidni EU CR7-A.</w:t>
      </w:r>
      <w:r>
        <w:rPr>
          <w:sz w:val="24"/>
          <w:rFonts w:ascii="Times New Roman" w:hAnsi="Times New Roman"/>
        </w:rPr>
        <w:t xml:space="preserve"> </w:t>
      </w:r>
      <w:r>
        <w:rPr>
          <w:sz w:val="24"/>
          <w:rFonts w:ascii="Times New Roman" w:hAnsi="Times New Roman"/>
        </w:rPr>
        <w:t xml:space="preserve">Ja fondētās kredītaizsardzības postenis attiecas uz vairāk nekā vienu riska darījumu, par nodrošinātiem uzskatīto riska darījumu summa nedrīkst pārsniegt kredītaizsardzības posteņa vērtību.</w:t>
      </w:r>
      <w:r>
        <w:rPr>
          <w:sz w:val="24"/>
          <w:rFonts w:ascii="Times New Roman" w:hAnsi="Times New Roman"/>
        </w:rPr>
        <w:t xml:space="preserve"> </w:t>
      </w:r>
    </w:p>
    <w:p w14:paraId="0F287152" w14:textId="4F211994" w:rsidR="00087388" w:rsidRPr="00F1728C" w:rsidRDefault="00942C4C" w:rsidP="63E31B68">
      <w:pPr>
        <w:pStyle w:val="ListParagraph"/>
        <w:numPr>
          <w:ilvl w:val="0"/>
          <w:numId w:val="7"/>
        </w:numPr>
        <w:spacing w:after="120"/>
        <w:ind w:left="714" w:hanging="357"/>
        <w:jc w:val="both"/>
        <w:rPr>
          <w:sz w:val="24"/>
          <w:szCs w:val="24"/>
          <w:rFonts w:ascii="Times New Roman" w:hAnsi="Times New Roman"/>
        </w:rPr>
      </w:pPr>
      <w:r>
        <w:rPr>
          <w:sz w:val="24"/>
          <w:rFonts w:ascii="Times New Roman" w:hAnsi="Times New Roman"/>
        </w:rPr>
        <w:t xml:space="preserve">Šajā veidnē neiekļauj darījuma partnera kredītriska (</w:t>
      </w:r>
      <w:r>
        <w:rPr>
          <w:sz w:val="24"/>
          <w:i/>
          <w:rFonts w:ascii="Times New Roman" w:hAnsi="Times New Roman"/>
        </w:rPr>
        <w:t xml:space="preserve">CCR</w:t>
      </w:r>
      <w:r>
        <w:rPr>
          <w:sz w:val="24"/>
          <w:rFonts w:ascii="Times New Roman" w:hAnsi="Times New Roman"/>
        </w:rPr>
        <w:t xml:space="preserve">) riska darījumus (Regulas (ES) Nr. 575/2013 trešās daļas II sadaļas 6. nodaļa), vērtspapīrošanas riska darījumus, citus aktīvus, kas nav kredītsaistības, riska darījumus ar kolektīvo ieguldījumu uzņēmumiem un kapitāla vērtspapīru riska darījumus.</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58A61B7A" w14:textId="77777777" w:rsidTr="11F50173">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B70889F" w14:textId="77777777" w:rsidR="00087388" w:rsidRPr="00F1728C" w:rsidRDefault="00087388" w:rsidP="00725D4D">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Atsauce uz aili</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1692144" w14:textId="77777777" w:rsidR="00087388" w:rsidRPr="00F1728C" w:rsidRDefault="00087388" w:rsidP="00725D4D">
            <w:pPr>
              <w:spacing w:after="120"/>
              <w:rPr>
                <w:b/>
                <w:sz w:val="24"/>
                <w:rFonts w:ascii="Times New Roman" w:hAnsi="Times New Roman" w:cs="Times New Roman"/>
              </w:rPr>
            </w:pPr>
            <w:r>
              <w:rPr>
                <w:b/>
                <w:sz w:val="24"/>
                <w:rFonts w:ascii="Times New Roman" w:hAnsi="Times New Roman"/>
              </w:rPr>
              <w:t xml:space="preserve">Atsauces uz tiesību aktiem un norādījumi</w:t>
            </w:r>
          </w:p>
        </w:tc>
      </w:tr>
      <w:tr w:rsidR="00087388" w:rsidRPr="00F1728C" w14:paraId="47ABA6F8" w14:textId="77777777" w:rsidTr="11F50173">
        <w:trPr>
          <w:trHeight w:val="238"/>
        </w:trPr>
        <w:tc>
          <w:tcPr>
            <w:tcW w:w="1413" w:type="dxa"/>
            <w:vMerge/>
          </w:tcPr>
          <w:p w14:paraId="1FC39945"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05C8441A" w14:textId="77777777" w:rsidR="00087388" w:rsidRPr="00F1728C" w:rsidRDefault="00087388" w:rsidP="00725D4D">
            <w:pPr>
              <w:autoSpaceDE w:val="0"/>
              <w:autoSpaceDN w:val="0"/>
              <w:adjustRightInd w:val="0"/>
              <w:spacing w:after="120"/>
              <w:rPr>
                <w:color w:val="000000"/>
                <w:sz w:val="24"/>
                <w:rFonts w:ascii="Times New Roman" w:hAnsi="Times New Roman" w:cs="Times New Roman"/>
              </w:rPr>
            </w:pPr>
            <w:r>
              <w:rPr>
                <w:b/>
                <w:sz w:val="24"/>
                <w:rFonts w:ascii="Times New Roman" w:hAnsi="Times New Roman"/>
              </w:rPr>
              <w:t xml:space="preserve">Paskaidrojums</w:t>
            </w:r>
          </w:p>
        </w:tc>
      </w:tr>
      <w:tr w:rsidR="00087388" w:rsidRPr="00F1728C" w14:paraId="0DD69BF7" w14:textId="77777777" w:rsidTr="11F50173">
        <w:trPr>
          <w:trHeight w:val="2388"/>
        </w:trPr>
        <w:tc>
          <w:tcPr>
            <w:tcW w:w="1413" w:type="dxa"/>
          </w:tcPr>
          <w:p w14:paraId="106CF623" w14:textId="77777777" w:rsidR="00087388" w:rsidRPr="00F1728C" w:rsidRDefault="00087388" w:rsidP="00725D4D">
            <w:pPr>
              <w:spacing w:after="120"/>
              <w:jc w:val="both"/>
              <w:rPr>
                <w:sz w:val="24"/>
                <w:rFonts w:ascii="Times New Roman" w:hAnsi="Times New Roman" w:cs="Times New Roman"/>
              </w:rPr>
            </w:pPr>
            <w:r>
              <w:rPr>
                <w:sz w:val="24"/>
                <w:rFonts w:ascii="Times New Roman" w:hAnsi="Times New Roman"/>
              </w:rPr>
              <w:t xml:space="preserve">a</w:t>
            </w:r>
          </w:p>
        </w:tc>
        <w:tc>
          <w:tcPr>
            <w:tcW w:w="7654" w:type="dxa"/>
          </w:tcPr>
          <w:p w14:paraId="595007CA" w14:textId="77777777" w:rsidR="00087388" w:rsidRPr="00F1728C" w:rsidRDefault="00087388" w:rsidP="00725D4D">
            <w:pPr>
              <w:spacing w:after="120"/>
              <w:jc w:val="both"/>
              <w:rPr>
                <w:b/>
                <w:sz w:val="24"/>
                <w:rFonts w:ascii="Times New Roman" w:hAnsi="Times New Roman" w:cs="Times New Roman"/>
              </w:rPr>
            </w:pPr>
            <w:r>
              <w:rPr>
                <w:b/>
                <w:sz w:val="24"/>
                <w:rFonts w:ascii="Times New Roman" w:hAnsi="Times New Roman"/>
              </w:rPr>
              <w:t xml:space="preserve">Riska darījumi kopā</w:t>
            </w:r>
          </w:p>
          <w:p w14:paraId="11B4E377" w14:textId="68650BB1" w:rsidR="00087388" w:rsidRPr="00F1728C" w:rsidRDefault="00087388" w:rsidP="11F50173">
            <w:pPr>
              <w:spacing w:after="120"/>
              <w:jc w:val="both"/>
              <w:rPr>
                <w:sz w:val="24"/>
                <w:rFonts w:ascii="Times New Roman" w:hAnsi="Times New Roman" w:cs="Times New Roman"/>
              </w:rPr>
            </w:pPr>
            <w:r>
              <w:rPr>
                <w:sz w:val="24"/>
                <w:rFonts w:ascii="Times New Roman" w:hAnsi="Times New Roman"/>
              </w:rPr>
              <w:t xml:space="preserve">Riska darījumu vērtība (pēc korekcijas pakāpju piemērošanas) saskaņā ar Regulas (ES) Nr. 575/2013 166. un 167. pantu.</w:t>
            </w:r>
          </w:p>
          <w:p w14:paraId="130EEB9C" w14:textId="77777777" w:rsidR="00087388" w:rsidRPr="00F1728C" w:rsidRDefault="00087388" w:rsidP="00725D4D">
            <w:pPr>
              <w:spacing w:after="120"/>
              <w:jc w:val="both"/>
              <w:rPr>
                <w:sz w:val="24"/>
                <w:rFonts w:ascii="Times New Roman" w:hAnsi="Times New Roman" w:cs="Times New Roman"/>
              </w:rPr>
            </w:pPr>
            <w:r>
              <w:rPr>
                <w:sz w:val="24"/>
                <w:rFonts w:ascii="Times New Roman" w:hAnsi="Times New Roman"/>
              </w:rPr>
              <w:t xml:space="preserve">Riska darījumus atklāj saskaņā ar riska darījumu kategoriju, kas piemērojama parādniekam, neņemot vērā aizstāšanas ietekmi saistībā ar garantijas esību.</w:t>
            </w:r>
          </w:p>
          <w:p w14:paraId="0DA44DEB" w14:textId="59B30F8D" w:rsidR="00087388" w:rsidRPr="00F1728C" w:rsidRDefault="00087388" w:rsidP="11F50173">
            <w:pPr>
              <w:spacing w:after="120"/>
              <w:jc w:val="both"/>
              <w:rPr>
                <w:rFonts w:ascii="Times New Roman" w:hAnsi="Times New Roman" w:cs="Times New Roman"/>
                <w:sz w:val="24"/>
              </w:rPr>
            </w:pPr>
          </w:p>
        </w:tc>
      </w:tr>
      <w:tr w:rsidR="001505CE" w:rsidRPr="001505CE" w14:paraId="7AFD3E4E" w14:textId="77777777" w:rsidTr="11F50173">
        <w:trPr>
          <w:trHeight w:val="316"/>
        </w:trPr>
        <w:tc>
          <w:tcPr>
            <w:tcW w:w="1413" w:type="dxa"/>
          </w:tcPr>
          <w:p w14:paraId="100C137E" w14:textId="77777777" w:rsidR="00087388" w:rsidRPr="001505CE" w:rsidRDefault="00087388" w:rsidP="00725D4D">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b</w:t>
            </w:r>
          </w:p>
        </w:tc>
        <w:tc>
          <w:tcPr>
            <w:tcW w:w="7654" w:type="dxa"/>
          </w:tcPr>
          <w:p w14:paraId="5EBAC67F" w14:textId="77777777" w:rsidR="00087388" w:rsidRPr="001505CE" w:rsidRDefault="00087388" w:rsidP="00725D4D">
            <w:pPr>
              <w:autoSpaceDE w:val="0"/>
              <w:autoSpaceDN w:val="0"/>
              <w:adjustRightInd w:val="0"/>
              <w:spacing w:after="120"/>
              <w:jc w:val="both"/>
              <w:rPr>
                <w:b/>
                <w:sz w:val="24"/>
                <w:rFonts w:ascii="Times New Roman" w:eastAsia="Times New Roman" w:hAnsi="Times New Roman" w:cs="Times New Roman"/>
              </w:rPr>
            </w:pPr>
            <w:r>
              <w:rPr>
                <w:b/>
                <w:sz w:val="24"/>
                <w:rFonts w:ascii="Times New Roman" w:hAnsi="Times New Roman"/>
              </w:rPr>
              <w:t xml:space="preserve">Fondētā kredītaizsardzība – to riska darījumu daļa, ko sedz finanšu nodrošinājums (%)</w:t>
            </w:r>
          </w:p>
          <w:p w14:paraId="05B7615D" w14:textId="77777777" w:rsidR="00087388" w:rsidRPr="001505CE" w:rsidRDefault="00087388" w:rsidP="00725D4D">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To riska darījumu procentuālā daļa, kas nodrošināti ar finanšu nodrošinājumu, attiecībā pret kopējiem riska darījumiem, kā norādīts šīs veidnes a ailē.</w:t>
            </w:r>
          </w:p>
          <w:p w14:paraId="1161AB0B" w14:textId="09AAEB12" w:rsidR="00087388" w:rsidRPr="001505CE" w:rsidRDefault="00087388" w:rsidP="11F50173">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Finanšu nodrošinājumu, tajā skaitā naudas nodrošinājumu, parāda vērtspapīrus un zeltu, kā uzskaitīts Regulas (ES) Nr. 575/2013 197. un 198. pantā, iekļauj skaitītājā, ja ir ievērotas visas Regulas (ES) Nr. 575/2013 207. panta 2.–4. punktā noteiktās prasības.</w:t>
            </w:r>
            <w:r>
              <w:rPr>
                <w:sz w:val="24"/>
                <w:rFonts w:ascii="Times New Roman" w:hAnsi="Times New Roman"/>
              </w:rPr>
              <w:t xml:space="preserve"> </w:t>
            </w:r>
            <w:r>
              <w:rPr>
                <w:sz w:val="24"/>
                <w:rFonts w:ascii="Times New Roman" w:hAnsi="Times New Roman"/>
              </w:rPr>
              <w:t xml:space="preserve">Atklātā nodrošinājuma vērtība ir ierobežota līdz riska darījuma vērtībai individuāla riska darījuma līmenī.</w:t>
            </w:r>
          </w:p>
          <w:p w14:paraId="4EB0550C" w14:textId="66AEA03D" w:rsidR="00087388" w:rsidRPr="001505CE" w:rsidRDefault="00087388" w:rsidP="11F50173">
            <w:pPr>
              <w:spacing w:after="120"/>
              <w:jc w:val="both"/>
              <w:rPr>
                <w:sz w:val="24"/>
                <w:rFonts w:ascii="Times New Roman" w:hAnsi="Times New Roman" w:cs="Times New Roman"/>
              </w:rPr>
            </w:pPr>
            <w:r>
              <w:rPr>
                <w:sz w:val="24"/>
                <w:rFonts w:ascii="Times New Roman" w:hAnsi="Times New Roman"/>
              </w:rPr>
              <w:t xml:space="preserve">Ja izmanto pašu aplēses attiecībā uz </w:t>
            </w:r>
            <w:r>
              <w:rPr>
                <w:sz w:val="24"/>
                <w:i/>
                <w:rFonts w:ascii="Times New Roman" w:hAnsi="Times New Roman"/>
              </w:rPr>
              <w:t xml:space="preserve">LGD</w:t>
            </w:r>
            <w:r>
              <w:rPr>
                <w:sz w:val="24"/>
                <w:rFonts w:ascii="Times New Roman" w:hAnsi="Times New Roman"/>
              </w:rPr>
              <w:t xml:space="preserve">:</w:t>
            </w:r>
            <w:r>
              <w:rPr>
                <w:sz w:val="24"/>
                <w:rFonts w:ascii="Times New Roman" w:hAnsi="Times New Roman"/>
              </w:rPr>
              <w:t xml:space="preserve"> </w:t>
            </w:r>
            <w:r>
              <w:rPr>
                <w:sz w:val="24"/>
                <w:rFonts w:ascii="Times New Roman" w:hAnsi="Times New Roman"/>
              </w:rPr>
              <w:t xml:space="preserve">finanšu nodrošinājums, kas ņemts vērā </w:t>
            </w:r>
            <w:r>
              <w:rPr>
                <w:sz w:val="24"/>
                <w:i/>
                <w:rFonts w:ascii="Times New Roman" w:hAnsi="Times New Roman"/>
              </w:rPr>
              <w:t xml:space="preserve">LGD</w:t>
            </w:r>
            <w:r>
              <w:rPr>
                <w:sz w:val="24"/>
                <w:rFonts w:ascii="Times New Roman" w:hAnsi="Times New Roman"/>
              </w:rPr>
              <w:t xml:space="preserve"> aplēsēs saskaņā ar Regulas (ES) Nr. 575/2013 181. panta 1. punkta e) un f) apakšpunktu.</w:t>
            </w:r>
            <w:r>
              <w:rPr>
                <w:sz w:val="24"/>
                <w:rFonts w:ascii="Times New Roman" w:hAnsi="Times New Roman"/>
              </w:rPr>
              <w:t xml:space="preserve"> </w:t>
            </w:r>
            <w:r>
              <w:rPr>
                <w:sz w:val="24"/>
                <w:rFonts w:ascii="Times New Roman" w:hAnsi="Times New Roman"/>
              </w:rPr>
              <w:t xml:space="preserve">Atklājamā vērtība ir nodrošinājuma aplēstā tirgus vērtība.</w:t>
            </w:r>
            <w:r>
              <w:rPr>
                <w:sz w:val="24"/>
                <w:rFonts w:ascii="Times New Roman" w:hAnsi="Times New Roman"/>
              </w:rPr>
              <w:t xml:space="preserve"> </w:t>
            </w:r>
          </w:p>
        </w:tc>
      </w:tr>
      <w:tr w:rsidR="001505CE" w:rsidRPr="001505CE" w14:paraId="4DE8CE6C" w14:textId="77777777" w:rsidTr="11F50173">
        <w:trPr>
          <w:trHeight w:val="316"/>
        </w:trPr>
        <w:tc>
          <w:tcPr>
            <w:tcW w:w="1413" w:type="dxa"/>
          </w:tcPr>
          <w:p w14:paraId="66622524" w14:textId="77777777" w:rsidR="00087388" w:rsidRPr="001505CE" w:rsidRDefault="00087388" w:rsidP="00725D4D">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c</w:t>
            </w:r>
          </w:p>
        </w:tc>
        <w:tc>
          <w:tcPr>
            <w:tcW w:w="7654" w:type="dxa"/>
          </w:tcPr>
          <w:p w14:paraId="3502B039" w14:textId="77777777" w:rsidR="00087388" w:rsidRPr="001505CE" w:rsidRDefault="00087388" w:rsidP="00725D4D">
            <w:pPr>
              <w:autoSpaceDE w:val="0"/>
              <w:autoSpaceDN w:val="0"/>
              <w:adjustRightInd w:val="0"/>
              <w:spacing w:after="120"/>
              <w:jc w:val="both"/>
              <w:rPr>
                <w:b/>
                <w:sz w:val="24"/>
                <w:rFonts w:ascii="Times New Roman" w:eastAsia="Times New Roman" w:hAnsi="Times New Roman" w:cs="Times New Roman"/>
              </w:rPr>
            </w:pPr>
            <w:r>
              <w:rPr>
                <w:b/>
                <w:sz w:val="24"/>
                <w:rFonts w:ascii="Times New Roman" w:hAnsi="Times New Roman"/>
              </w:rPr>
              <w:t xml:space="preserve">Fondētā kredītaizsardzība – to riska darījumu daļa, ko sedz cits atbilstīgs nodrošinājums (%)</w:t>
            </w:r>
          </w:p>
          <w:p w14:paraId="71F6D040" w14:textId="314277F4" w:rsidR="00087388" w:rsidRPr="001505CE" w:rsidRDefault="00087388" w:rsidP="00725D4D">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Ar citu atbilstīgu nodrošinājumu nodrošināto riska darījumu procentuālā daļa attiecībā pret kopējiem riska darījumiem, kā norādīts šīs veidnes a ailē.</w:t>
            </w:r>
          </w:p>
          <w:p w14:paraId="418B65DD" w14:textId="77777777" w:rsidR="00087388" w:rsidRPr="001505CE" w:rsidRDefault="00087388" w:rsidP="00725D4D">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Šajā veidnē atklātās vērtības ir šīs veidnes d–f ailē norādīto vērtību summa.</w:t>
            </w:r>
          </w:p>
          <w:p w14:paraId="2F6A5BCF" w14:textId="0B212FEC" w:rsidR="00087388" w:rsidRPr="001505CE" w:rsidRDefault="00087388" w:rsidP="11F50173">
            <w:pPr>
              <w:spacing w:after="120"/>
              <w:rPr>
                <w:sz w:val="24"/>
                <w:rFonts w:ascii="Times New Roman" w:hAnsi="Times New Roman" w:cs="Times New Roman"/>
              </w:rPr>
            </w:pPr>
            <w:r>
              <w:rPr>
                <w:sz w:val="24"/>
                <w:rFonts w:ascii="Times New Roman" w:hAnsi="Times New Roman"/>
              </w:rPr>
              <w:t xml:space="preserve">Ja neizmanto pašu aplēses attiecībā uz </w:t>
            </w:r>
            <w:r>
              <w:rPr>
                <w:sz w:val="24"/>
                <w:i/>
                <w:rFonts w:ascii="Times New Roman" w:hAnsi="Times New Roman"/>
              </w:rPr>
              <w:t xml:space="preserve">LGD</w:t>
            </w:r>
            <w:r>
              <w:rPr>
                <w:sz w:val="24"/>
                <w:rFonts w:ascii="Times New Roman" w:hAnsi="Times New Roman"/>
              </w:rPr>
              <w:t xml:space="preserve">:</w:t>
            </w:r>
            <w:r>
              <w:rPr>
                <w:sz w:val="24"/>
                <w:rFonts w:ascii="Times New Roman" w:hAnsi="Times New Roman"/>
              </w:rPr>
              <w:t xml:space="preserve"> </w:t>
            </w:r>
            <w:r>
              <w:rPr>
                <w:sz w:val="24"/>
                <w:rFonts w:ascii="Times New Roman" w:hAnsi="Times New Roman"/>
              </w:rPr>
              <w:t xml:space="preserve">Regulas (ES) Nr. 575/2013 199. panta 1.–8. punkts un Regulas (ES) Nr. 575/2013 229. pants.</w:t>
            </w:r>
          </w:p>
          <w:p w14:paraId="460C4DD2" w14:textId="0BC71391" w:rsidR="00087388" w:rsidRPr="001505CE" w:rsidRDefault="00087388" w:rsidP="11F50173">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Ja izmanto pašu aplēses attiecībā uz </w:t>
            </w:r>
            <w:r>
              <w:rPr>
                <w:sz w:val="24"/>
                <w:i/>
                <w:rFonts w:ascii="Times New Roman" w:hAnsi="Times New Roman"/>
              </w:rPr>
              <w:t xml:space="preserve">LGD</w:t>
            </w:r>
            <w:r>
              <w:rPr>
                <w:sz w:val="24"/>
                <w:rFonts w:ascii="Times New Roman" w:hAnsi="Times New Roman"/>
              </w:rPr>
              <w:t xml:space="preserve">:</w:t>
            </w:r>
            <w:r>
              <w:rPr>
                <w:sz w:val="24"/>
                <w:rFonts w:ascii="Times New Roman" w:hAnsi="Times New Roman"/>
              </w:rPr>
              <w:t xml:space="preserve"> </w:t>
            </w:r>
            <w:r>
              <w:rPr>
                <w:sz w:val="24"/>
                <w:rFonts w:ascii="Times New Roman" w:hAnsi="Times New Roman"/>
              </w:rPr>
              <w:t xml:space="preserve">cits nodrošinājums, kas ņemts vērā </w:t>
            </w:r>
            <w:r>
              <w:rPr>
                <w:sz w:val="24"/>
                <w:i/>
                <w:rFonts w:ascii="Times New Roman" w:hAnsi="Times New Roman"/>
              </w:rPr>
              <w:t xml:space="preserve">LGD</w:t>
            </w:r>
            <w:r>
              <w:rPr>
                <w:sz w:val="24"/>
                <w:rFonts w:ascii="Times New Roman" w:hAnsi="Times New Roman"/>
              </w:rPr>
              <w:t xml:space="preserve"> aplēsēs saskaņā ar Regulas (ES) Nr. 575/2013 181. panta 1. punkta e) un f) apakšpunktu.</w:t>
            </w:r>
          </w:p>
        </w:tc>
      </w:tr>
      <w:tr w:rsidR="001505CE" w:rsidRPr="001505CE" w14:paraId="5E88B69B" w14:textId="77777777" w:rsidTr="11F50173">
        <w:trPr>
          <w:trHeight w:val="316"/>
        </w:trPr>
        <w:tc>
          <w:tcPr>
            <w:tcW w:w="1413" w:type="dxa"/>
          </w:tcPr>
          <w:p w14:paraId="62BAE319" w14:textId="77777777" w:rsidR="00087388" w:rsidRPr="001505CE" w:rsidRDefault="00087388" w:rsidP="00725D4D">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d</w:t>
            </w:r>
          </w:p>
        </w:tc>
        <w:tc>
          <w:tcPr>
            <w:tcW w:w="7654" w:type="dxa"/>
          </w:tcPr>
          <w:p w14:paraId="61EEB320" w14:textId="77777777" w:rsidR="00087388" w:rsidRPr="001505CE" w:rsidRDefault="00087388" w:rsidP="00725D4D">
            <w:pPr>
              <w:autoSpaceDE w:val="0"/>
              <w:autoSpaceDN w:val="0"/>
              <w:adjustRightInd w:val="0"/>
              <w:spacing w:after="120"/>
              <w:jc w:val="both"/>
              <w:rPr>
                <w:b/>
                <w:sz w:val="24"/>
                <w:rFonts w:ascii="Times New Roman" w:eastAsia="Times New Roman" w:hAnsi="Times New Roman" w:cs="Times New Roman"/>
              </w:rPr>
            </w:pPr>
            <w:r>
              <w:rPr>
                <w:b/>
                <w:sz w:val="24"/>
                <w:rFonts w:ascii="Times New Roman" w:hAnsi="Times New Roman"/>
              </w:rPr>
              <w:t xml:space="preserve">Fondētā kredītaizsardzība – to riska darījumu daļa, ko sedz nekustamā īpašuma nodrošinājumi (%)</w:t>
            </w:r>
          </w:p>
          <w:p w14:paraId="64FF065B" w14:textId="13382A6F" w:rsidR="00087388" w:rsidRPr="001505CE" w:rsidRDefault="00087388" w:rsidP="11F50173">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Ar nekustamā īpašuma nodrošinājumu nodrošināto riska darījumu procentuālā daļa, ieskaitot izpirkumnomu saskaņā ar Regulas (ES) Nr. 575/2013 199. panta 7. punktu, attiecībā pret kopējiem riska darījumiem, kā norādīts šīs veidnes a ailē.</w:t>
            </w:r>
          </w:p>
          <w:p w14:paraId="1E5FFFA3" w14:textId="425B55C6" w:rsidR="00087388" w:rsidRPr="001505CE" w:rsidRDefault="00087388" w:rsidP="11F50173">
            <w:pPr>
              <w:spacing w:after="120"/>
              <w:rPr>
                <w:sz w:val="24"/>
                <w:rFonts w:ascii="Times New Roman" w:hAnsi="Times New Roman" w:cs="Times New Roman"/>
              </w:rPr>
            </w:pPr>
            <w:r>
              <w:rPr>
                <w:sz w:val="24"/>
                <w:rFonts w:ascii="Times New Roman" w:hAnsi="Times New Roman"/>
              </w:rPr>
              <w:t xml:space="preserve">Nekustamā īpašuma nodrošinājumu iekļauj skaitītājā, ja tas atbilst visām Regulas (ES) Nr. 575/2013 208. panta 2.–5. punktā noteiktajām atbilstības prasībām.</w:t>
            </w:r>
            <w:r>
              <w:rPr>
                <w:sz w:val="24"/>
                <w:rFonts w:ascii="Times New Roman" w:hAnsi="Times New Roman"/>
              </w:rPr>
              <w:t xml:space="preserve"> </w:t>
            </w:r>
          </w:p>
          <w:p w14:paraId="0D11C6A7" w14:textId="56E310AE" w:rsidR="00087388" w:rsidRPr="001505CE" w:rsidRDefault="00087388" w:rsidP="11F50173">
            <w:pPr>
              <w:autoSpaceDE w:val="0"/>
              <w:autoSpaceDN w:val="0"/>
              <w:adjustRightInd w:val="0"/>
              <w:spacing w:after="120"/>
              <w:jc w:val="both"/>
              <w:rPr>
                <w:rFonts w:ascii="Times New Roman" w:hAnsi="Times New Roman" w:cs="Times New Roman"/>
              </w:rPr>
            </w:pPr>
            <w:r>
              <w:rPr>
                <w:sz w:val="24"/>
                <w:rFonts w:ascii="Times New Roman" w:hAnsi="Times New Roman"/>
              </w:rPr>
              <w:t xml:space="preserve">Nekustamā īpašuma izpirkumnomu iekļauj skaitītājā, ja tā atbilst visām Regulas (ES) Nr. 575/2013 211. pantā noteiktajām atbilstības prasībām.</w:t>
            </w:r>
            <w:r>
              <w:rPr>
                <w:sz w:val="24"/>
                <w:rFonts w:ascii="Times New Roman" w:hAnsi="Times New Roman"/>
              </w:rPr>
              <w:t xml:space="preserve"> </w:t>
            </w:r>
            <w:r>
              <w:rPr>
                <w:sz w:val="24"/>
                <w:rFonts w:ascii="Times New Roman" w:hAnsi="Times New Roman"/>
              </w:rPr>
              <w:t xml:space="preserve">Atklātā nodrošinājuma vērtība ir ierobežota līdz riska darījuma vērtībai individuāla riska darījuma līmenī.</w:t>
            </w:r>
          </w:p>
        </w:tc>
      </w:tr>
      <w:tr w:rsidR="001505CE" w:rsidRPr="001505CE" w14:paraId="045325E6" w14:textId="77777777" w:rsidTr="11F50173">
        <w:trPr>
          <w:trHeight w:val="316"/>
        </w:trPr>
        <w:tc>
          <w:tcPr>
            <w:tcW w:w="1413" w:type="dxa"/>
          </w:tcPr>
          <w:p w14:paraId="6A2565D8" w14:textId="77777777" w:rsidR="00087388" w:rsidRPr="001505CE" w:rsidRDefault="00087388" w:rsidP="00725D4D">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e</w:t>
            </w:r>
          </w:p>
        </w:tc>
        <w:tc>
          <w:tcPr>
            <w:tcW w:w="7654" w:type="dxa"/>
          </w:tcPr>
          <w:p w14:paraId="5C213FCD" w14:textId="77777777" w:rsidR="00087388" w:rsidRPr="001505CE" w:rsidRDefault="00087388" w:rsidP="00725D4D">
            <w:pPr>
              <w:autoSpaceDE w:val="0"/>
              <w:autoSpaceDN w:val="0"/>
              <w:adjustRightInd w:val="0"/>
              <w:spacing w:after="120"/>
              <w:jc w:val="both"/>
              <w:rPr>
                <w:b/>
                <w:sz w:val="24"/>
                <w:rFonts w:ascii="Times New Roman" w:eastAsia="Times New Roman" w:hAnsi="Times New Roman" w:cs="Times New Roman"/>
              </w:rPr>
            </w:pPr>
            <w:r>
              <w:rPr>
                <w:b/>
                <w:sz w:val="24"/>
                <w:rFonts w:ascii="Times New Roman" w:hAnsi="Times New Roman"/>
              </w:rPr>
              <w:t xml:space="preserve">To riska darījumu daļa, ko sedz ar debitoru parādiem (%)</w:t>
            </w:r>
          </w:p>
          <w:p w14:paraId="0746B807" w14:textId="40DF4235" w:rsidR="00087388" w:rsidRPr="001505CE" w:rsidRDefault="00087388" w:rsidP="11F50173">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Ar debitoru parādiem nodrošināto riska darījumu procentuālā daļa saskaņā ar Regulas (ES) Nr. 575/2013 199. panta 5. punktu attiecībā pret kopējiem riska darījumiem, kā norādīts šīs veidnes a ailē.</w:t>
            </w:r>
          </w:p>
          <w:p w14:paraId="710DCA31" w14:textId="76FAEE9F" w:rsidR="00087388" w:rsidRPr="001505CE" w:rsidRDefault="00087388" w:rsidP="11F50173">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Debitoru parādus iekļauj skaitītājā, ja tie atbilst visām Regulas (ES) Nr. 575/2013 209. pantā noteiktajām atbilstības prasībām.</w:t>
            </w:r>
            <w:r>
              <w:rPr>
                <w:sz w:val="24"/>
                <w:rFonts w:ascii="Times New Roman" w:hAnsi="Times New Roman"/>
              </w:rPr>
              <w:t xml:space="preserve"> </w:t>
            </w:r>
            <w:r>
              <w:rPr>
                <w:sz w:val="24"/>
                <w:rFonts w:ascii="Times New Roman" w:hAnsi="Times New Roman"/>
              </w:rPr>
              <w:t xml:space="preserve">Atklātā nodrošinājuma vērtība ir ierobežota līdz riska darījuma vērtībai individuāla riska darījuma līmenī.</w:t>
            </w:r>
          </w:p>
        </w:tc>
      </w:tr>
      <w:tr w:rsidR="001505CE" w:rsidRPr="001505CE" w14:paraId="05320019" w14:textId="77777777" w:rsidTr="11F50173">
        <w:trPr>
          <w:trHeight w:val="316"/>
        </w:trPr>
        <w:tc>
          <w:tcPr>
            <w:tcW w:w="1413" w:type="dxa"/>
          </w:tcPr>
          <w:p w14:paraId="5F980064" w14:textId="77777777" w:rsidR="00087388" w:rsidRPr="001505CE" w:rsidRDefault="00087388" w:rsidP="00725D4D">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f</w:t>
            </w:r>
          </w:p>
        </w:tc>
        <w:tc>
          <w:tcPr>
            <w:tcW w:w="7654" w:type="dxa"/>
          </w:tcPr>
          <w:p w14:paraId="435EF86D" w14:textId="77777777" w:rsidR="00087388" w:rsidRPr="001505CE" w:rsidRDefault="00087388" w:rsidP="00725D4D">
            <w:pPr>
              <w:autoSpaceDE w:val="0"/>
              <w:autoSpaceDN w:val="0"/>
              <w:adjustRightInd w:val="0"/>
              <w:spacing w:after="120"/>
              <w:jc w:val="both"/>
              <w:rPr>
                <w:b/>
                <w:sz w:val="24"/>
                <w:rFonts w:ascii="Times New Roman" w:eastAsia="Times New Roman" w:hAnsi="Times New Roman" w:cs="Times New Roman"/>
              </w:rPr>
            </w:pPr>
            <w:r>
              <w:rPr>
                <w:b/>
                <w:sz w:val="24"/>
                <w:rFonts w:ascii="Times New Roman" w:hAnsi="Times New Roman"/>
              </w:rPr>
              <w:t xml:space="preserve">To riska darījumu daļa, ko sedz ar citu lietisko nodrošinājumu (%)</w:t>
            </w:r>
          </w:p>
          <w:p w14:paraId="654C6C9C" w14:textId="430BF6CF" w:rsidR="00087388" w:rsidRPr="001505CE" w:rsidRDefault="00087388" w:rsidP="11F50173">
            <w:pPr>
              <w:spacing w:after="120"/>
              <w:jc w:val="both"/>
              <w:rPr>
                <w:sz w:val="24"/>
                <w:rFonts w:ascii="Times New Roman" w:hAnsi="Times New Roman" w:cs="Times New Roman"/>
              </w:rPr>
            </w:pPr>
            <w:r>
              <w:rPr>
                <w:sz w:val="24"/>
                <w:rFonts w:ascii="Times New Roman" w:hAnsi="Times New Roman"/>
              </w:rPr>
              <w:t xml:space="preserve">Ar citu lietisko nodrošinājumu nodrošināto riska darījumu procentuālā daļa, ieskaitot šādu nodrošinājumu izpirkumnomu saskaņā ar Regulas (ES) Nr. 575/2013 199. panta 6. un 8. punktu, attiecībā pret kopējiem riska darījumiem, kā norādīts šīs veidnes a ailē.</w:t>
            </w:r>
          </w:p>
          <w:p w14:paraId="082434AC" w14:textId="5B847DD3" w:rsidR="00087388" w:rsidRPr="001505CE" w:rsidRDefault="00087388" w:rsidP="11F50173">
            <w:pPr>
              <w:spacing w:after="120"/>
              <w:rPr>
                <w:sz w:val="24"/>
                <w:rFonts w:ascii="Times New Roman" w:eastAsia="Times New Roman" w:hAnsi="Times New Roman" w:cs="Times New Roman"/>
              </w:rPr>
            </w:pPr>
            <w:r>
              <w:rPr>
                <w:sz w:val="24"/>
                <w:rFonts w:ascii="Times New Roman" w:hAnsi="Times New Roman"/>
              </w:rPr>
              <w:t xml:space="preserve">Citu lietisko nodrošinājumu iekļauj skaitītājā, ja tas atbilst visām Regulas (ES) Nr. 575/2013 210. pantā noteiktajām atbilstības prasībām.</w:t>
            </w:r>
            <w:r>
              <w:rPr>
                <w:sz w:val="24"/>
                <w:rFonts w:ascii="Times New Roman" w:hAnsi="Times New Roman"/>
              </w:rPr>
              <w:t xml:space="preserve"> </w:t>
            </w:r>
            <w:r>
              <w:rPr>
                <w:sz w:val="24"/>
                <w:rFonts w:ascii="Times New Roman" w:hAnsi="Times New Roman"/>
              </w:rPr>
              <w:t xml:space="preserve">Atklātā nodrošinājuma vērtība ir ierobežota līdz riska darījuma vērtībai individuāla riska darījuma līmenī.</w:t>
            </w:r>
          </w:p>
        </w:tc>
      </w:tr>
      <w:tr w:rsidR="00087388" w:rsidRPr="00F1728C" w14:paraId="65908E13" w14:textId="77777777" w:rsidTr="11F50173">
        <w:trPr>
          <w:trHeight w:val="316"/>
        </w:trPr>
        <w:tc>
          <w:tcPr>
            <w:tcW w:w="1413" w:type="dxa"/>
          </w:tcPr>
          <w:p w14:paraId="0DB6C36A" w14:textId="77777777" w:rsidR="00087388" w:rsidRPr="00F1728C" w:rsidRDefault="00087388" w:rsidP="00725D4D">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g</w:t>
            </w:r>
          </w:p>
        </w:tc>
        <w:tc>
          <w:tcPr>
            <w:tcW w:w="7654" w:type="dxa"/>
          </w:tcPr>
          <w:p w14:paraId="521635B5" w14:textId="77777777" w:rsidR="00087388" w:rsidRPr="00F1728C" w:rsidRDefault="00087388" w:rsidP="00725D4D">
            <w:pPr>
              <w:autoSpaceDE w:val="0"/>
              <w:autoSpaceDN w:val="0"/>
              <w:adjustRightInd w:val="0"/>
              <w:spacing w:after="120"/>
              <w:jc w:val="both"/>
              <w:rPr>
                <w:b/>
                <w:sz w:val="24"/>
                <w:rFonts w:ascii="Times New Roman" w:eastAsia="Times New Roman" w:hAnsi="Times New Roman" w:cs="Times New Roman"/>
              </w:rPr>
            </w:pPr>
            <w:r>
              <w:rPr>
                <w:b/>
                <w:sz w:val="24"/>
                <w:rFonts w:ascii="Times New Roman" w:hAnsi="Times New Roman"/>
              </w:rPr>
              <w:t xml:space="preserve">Fondētā kredītaizsardzība – to riska darījumu daļa, ko sedz cita fondētā kredītaizsardzība (%)</w:t>
            </w:r>
          </w:p>
          <w:p w14:paraId="6C4231F8" w14:textId="1DE105B6" w:rsidR="00087388" w:rsidRPr="00F1728C" w:rsidRDefault="00087388" w:rsidP="00725D4D">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Ar citu fondēto kredītaizsardzību nodrošināto riska darījumu procentuālā daļa attiecībā pret kopējiem riska darījumiem, kā norādīts a ailē.</w:t>
            </w:r>
          </w:p>
          <w:p w14:paraId="2C3D8A7E" w14:textId="77777777" w:rsidR="00087388" w:rsidRPr="00F1728C" w:rsidRDefault="00087388" w:rsidP="00725D4D">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Šajā ailē norādītās vērtības ir šīs veidnes h, i un j ailē norādīto vērtību kopsumma.</w:t>
            </w:r>
          </w:p>
        </w:tc>
      </w:tr>
      <w:tr w:rsidR="001505CE" w:rsidRPr="001505CE" w14:paraId="5C2DC995" w14:textId="77777777" w:rsidTr="11F50173">
        <w:trPr>
          <w:trHeight w:val="316"/>
        </w:trPr>
        <w:tc>
          <w:tcPr>
            <w:tcW w:w="1413" w:type="dxa"/>
          </w:tcPr>
          <w:p w14:paraId="45EAADE1" w14:textId="77777777" w:rsidR="00087388" w:rsidRPr="001505CE" w:rsidRDefault="00087388" w:rsidP="00725D4D">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h</w:t>
            </w:r>
          </w:p>
          <w:p w14:paraId="0562CB0E"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p>
        </w:tc>
        <w:tc>
          <w:tcPr>
            <w:tcW w:w="7654" w:type="dxa"/>
          </w:tcPr>
          <w:p w14:paraId="625B0643" w14:textId="77777777" w:rsidR="00087388" w:rsidRPr="001505CE" w:rsidRDefault="00087388" w:rsidP="00725D4D">
            <w:pPr>
              <w:autoSpaceDE w:val="0"/>
              <w:autoSpaceDN w:val="0"/>
              <w:adjustRightInd w:val="0"/>
              <w:spacing w:after="120"/>
              <w:jc w:val="both"/>
              <w:rPr>
                <w:b/>
                <w:sz w:val="24"/>
                <w:rFonts w:ascii="Times New Roman" w:eastAsia="Times New Roman" w:hAnsi="Times New Roman" w:cs="Times New Roman"/>
              </w:rPr>
            </w:pPr>
            <w:r>
              <w:rPr>
                <w:b/>
                <w:sz w:val="24"/>
                <w:rFonts w:ascii="Times New Roman" w:hAnsi="Times New Roman"/>
              </w:rPr>
              <w:t xml:space="preserve">Fondētā kredītaizsardzība – to riska darījumu daļa, ko sedz naudas noguldījumi (%)</w:t>
            </w:r>
          </w:p>
          <w:p w14:paraId="04D50369" w14:textId="14BFD562" w:rsidR="00087388" w:rsidRPr="001505CE" w:rsidRDefault="00087388" w:rsidP="11F50173">
            <w:pPr>
              <w:spacing w:after="120"/>
              <w:jc w:val="both"/>
              <w:rPr>
                <w:sz w:val="24"/>
                <w:rFonts w:ascii="Times New Roman" w:hAnsi="Times New Roman" w:cs="Times New Roman"/>
              </w:rPr>
            </w:pPr>
            <w:r>
              <w:rPr>
                <w:sz w:val="24"/>
                <w:rFonts w:ascii="Times New Roman" w:hAnsi="Times New Roman"/>
              </w:rPr>
              <w:t xml:space="preserve">Ar naudas noguldījumiem vai naudai pielīdzinātiem instrumentiem, ko tur trešās personas iestāde, nodrošinātu riska darījumu procentuālā daļa attiecībā pret kopējiem riska darījumiem, kā norādīts šīs veidnes a ailē;</w:t>
            </w:r>
            <w:r>
              <w:rPr>
                <w:sz w:val="24"/>
                <w:rFonts w:ascii="Times New Roman" w:hAnsi="Times New Roman"/>
              </w:rPr>
              <w:t xml:space="preserve"> </w:t>
            </w:r>
            <w:r>
              <w:rPr>
                <w:sz w:val="24"/>
                <w:rFonts w:ascii="Times New Roman" w:hAnsi="Times New Roman"/>
              </w:rPr>
              <w:t xml:space="preserve">saskaņā ar Regulas (ES) Nr. 575/2013 200. panta a) punktu cita fondētā kredītaizsardzība ietver naudas noguldījumus vai naudai pielīdzināmus instrumentus, kas, pamatojoties uz ar turēšanu nesaistītu līgumu, atrodas citā iestādē un ir ieķīlāti par labu aizdevējiestādei.</w:t>
            </w:r>
            <w:r>
              <w:rPr>
                <w:sz w:val="24"/>
                <w:rFonts w:ascii="Times New Roman" w:hAnsi="Times New Roman"/>
              </w:rPr>
              <w:t xml:space="preserve"> </w:t>
            </w:r>
          </w:p>
          <w:p w14:paraId="7BA415CF" w14:textId="77777777" w:rsidR="00087388" w:rsidRPr="001505CE" w:rsidRDefault="00087388" w:rsidP="00725D4D">
            <w:pPr>
              <w:spacing w:after="120"/>
              <w:jc w:val="both"/>
              <w:rPr>
                <w:sz w:val="24"/>
                <w:rFonts w:ascii="Times New Roman" w:hAnsi="Times New Roman" w:cs="Times New Roman"/>
              </w:rPr>
            </w:pPr>
            <w:r>
              <w:rPr>
                <w:sz w:val="24"/>
                <w:rFonts w:ascii="Times New Roman" w:hAnsi="Times New Roman"/>
              </w:rPr>
              <w:t xml:space="preserve">Atklātā nodrošinājuma vērtība ir ierobežota līdz riska darījuma vērtībai individuāla riska darījuma līmenī.</w:t>
            </w:r>
          </w:p>
        </w:tc>
      </w:tr>
      <w:tr w:rsidR="00087388" w:rsidRPr="00F1728C" w14:paraId="7D60ED9D" w14:textId="77777777" w:rsidTr="11F50173">
        <w:trPr>
          <w:trHeight w:val="316"/>
        </w:trPr>
        <w:tc>
          <w:tcPr>
            <w:tcW w:w="1413" w:type="dxa"/>
          </w:tcPr>
          <w:p w14:paraId="3FABC7AD" w14:textId="77777777" w:rsidR="00087388" w:rsidRPr="00F1728C" w:rsidRDefault="00087388" w:rsidP="00725D4D">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i</w:t>
            </w:r>
          </w:p>
        </w:tc>
        <w:tc>
          <w:tcPr>
            <w:tcW w:w="7654" w:type="dxa"/>
          </w:tcPr>
          <w:p w14:paraId="65B7276A" w14:textId="77777777" w:rsidR="00087388" w:rsidRPr="00F1728C" w:rsidRDefault="00087388" w:rsidP="00725D4D">
            <w:pPr>
              <w:autoSpaceDE w:val="0"/>
              <w:autoSpaceDN w:val="0"/>
              <w:adjustRightInd w:val="0"/>
              <w:spacing w:after="120"/>
              <w:jc w:val="both"/>
              <w:rPr>
                <w:b/>
                <w:sz w:val="24"/>
                <w:rFonts w:ascii="Times New Roman" w:eastAsia="Times New Roman" w:hAnsi="Times New Roman" w:cs="Times New Roman"/>
              </w:rPr>
            </w:pPr>
            <w:r>
              <w:rPr>
                <w:b/>
                <w:sz w:val="24"/>
                <w:rFonts w:ascii="Times New Roman" w:hAnsi="Times New Roman"/>
              </w:rPr>
              <w:t xml:space="preserve">Fondētā kredītaizsardzība – to riska darījumu daļa, ko sedz dzīvības apdrošināšanas polises (%)</w:t>
            </w:r>
          </w:p>
          <w:p w14:paraId="75F3E00A" w14:textId="6A1D9102" w:rsidR="00087388" w:rsidRPr="00F1728C" w:rsidRDefault="00087388" w:rsidP="00725D4D">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Ar dzīvības apdrošināšanas polisēm nodrošināto riska darījumu procentuālā daļa attiecībā pret kopējiem riska darījumiem, kā norādīts šīs veidnes a ailē.</w:t>
            </w:r>
          </w:p>
          <w:p w14:paraId="7C24938A" w14:textId="6CC0928D" w:rsidR="00087388" w:rsidRPr="00F1728C" w:rsidRDefault="00087388" w:rsidP="11F50173">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Saskaņā ar Regulas (ES) Nr. 575/2013 200. panta b) punktu cita fondētā kredītaizsardzība ietver dzīvības apdrošināšanas polises, kas ieķīlātas par labu aizdevējiestādei.</w:t>
            </w:r>
            <w:r>
              <w:rPr>
                <w:sz w:val="24"/>
                <w:rFonts w:ascii="Times New Roman" w:hAnsi="Times New Roman"/>
              </w:rPr>
              <w:t xml:space="preserve"> </w:t>
            </w:r>
            <w:r>
              <w:rPr>
                <w:sz w:val="24"/>
                <w:rFonts w:ascii="Times New Roman" w:hAnsi="Times New Roman"/>
              </w:rPr>
              <w:t xml:space="preserve">Atklātā nodrošinājuma vērtība ir ierobežota līdz riska darījuma vērtībai individuāla riska darījuma līmenī.</w:t>
            </w:r>
          </w:p>
        </w:tc>
      </w:tr>
      <w:tr w:rsidR="00087388" w:rsidRPr="00F1728C" w14:paraId="54DFAC7F" w14:textId="77777777" w:rsidTr="11F50173">
        <w:trPr>
          <w:trHeight w:val="316"/>
        </w:trPr>
        <w:tc>
          <w:tcPr>
            <w:tcW w:w="1413" w:type="dxa"/>
          </w:tcPr>
          <w:p w14:paraId="3DC2D073" w14:textId="77777777" w:rsidR="00087388" w:rsidRPr="00F1728C" w:rsidRDefault="00087388" w:rsidP="00725D4D">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j</w:t>
            </w:r>
          </w:p>
        </w:tc>
        <w:tc>
          <w:tcPr>
            <w:tcW w:w="7654" w:type="dxa"/>
          </w:tcPr>
          <w:p w14:paraId="21B136D1" w14:textId="77777777" w:rsidR="00087388" w:rsidRPr="00F1728C" w:rsidRDefault="00087388" w:rsidP="00725D4D">
            <w:pPr>
              <w:autoSpaceDE w:val="0"/>
              <w:autoSpaceDN w:val="0"/>
              <w:adjustRightInd w:val="0"/>
              <w:spacing w:after="120"/>
              <w:jc w:val="both"/>
              <w:rPr>
                <w:b/>
                <w:sz w:val="24"/>
                <w:rFonts w:ascii="Times New Roman" w:eastAsia="Times New Roman" w:hAnsi="Times New Roman" w:cs="Times New Roman"/>
              </w:rPr>
            </w:pPr>
            <w:r>
              <w:rPr>
                <w:b/>
                <w:sz w:val="24"/>
                <w:rFonts w:ascii="Times New Roman" w:hAnsi="Times New Roman"/>
              </w:rPr>
              <w:t xml:space="preserve">Fondētā kredītaizsardzība – to riska darījumu daļa, ko sedz trešās personas turēts instruments (%)</w:t>
            </w:r>
          </w:p>
          <w:p w14:paraId="58C8EAE3" w14:textId="451849A1" w:rsidR="00087388" w:rsidRPr="00F1728C" w:rsidRDefault="00087388" w:rsidP="00725D4D">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Ar nodrošinājumu trešās personas turētu instrumentu veidā nodrošinātu riska darījumu procentuālā daļa attiecībā pret kopējiem riska darījumiem, kā norādīts šīs veidnes a ailē;</w:t>
            </w:r>
            <w:r>
              <w:rPr>
                <w:sz w:val="24"/>
                <w:rFonts w:ascii="Times New Roman" w:hAnsi="Times New Roman"/>
              </w:rPr>
              <w:t xml:space="preserve"> </w:t>
            </w:r>
            <w:r>
              <w:rPr>
                <w:sz w:val="24"/>
                <w:rFonts w:ascii="Times New Roman" w:hAnsi="Times New Roman"/>
              </w:rPr>
              <w:t xml:space="preserve">ar trešās personas emitētu instrumentu segtu riska darījumu daļa attiecībā pret kopējiem riska darījumiem.</w:t>
            </w:r>
          </w:p>
          <w:p w14:paraId="677167CD" w14:textId="1A3C531F" w:rsidR="00087388" w:rsidRPr="00F1728C" w:rsidRDefault="00087388" w:rsidP="11F50173">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Saskaņā ar Regulas (ES) Nr. 575/2013 200. panta c) punktu atklātā vērtība ietver instrumentus, ko emitējusi trešās personas iestāde un ko šī iestāde atpirks pēc pieprasījuma.</w:t>
            </w:r>
            <w:r>
              <w:rPr>
                <w:sz w:val="24"/>
                <w:rFonts w:ascii="Times New Roman" w:hAnsi="Times New Roman"/>
              </w:rPr>
              <w:t xml:space="preserve"> </w:t>
            </w:r>
            <w:r>
              <w:rPr>
                <w:sz w:val="24"/>
                <w:rFonts w:ascii="Times New Roman" w:hAnsi="Times New Roman"/>
              </w:rPr>
              <w:t xml:space="preserve">Nodrošinājuma vērtība ir ierobežota līdz riska darījuma vērtībai individuāla riska darījuma līmenī.</w:t>
            </w:r>
            <w:r>
              <w:rPr>
                <w:sz w:val="24"/>
                <w:rFonts w:ascii="Times New Roman" w:hAnsi="Times New Roman"/>
              </w:rPr>
              <w:t xml:space="preserve"> </w:t>
            </w:r>
            <w:r>
              <w:rPr>
                <w:sz w:val="24"/>
                <w:rFonts w:ascii="Times New Roman" w:hAnsi="Times New Roman"/>
              </w:rPr>
              <w:t xml:space="preserve">Šajā procentuālajā daļā neiekļauj riska darījumus, ko sedz trešās personas turēti instrumenti, ja saskaņā ar Regulas (ES) Nr. 575/2013 232. panta 4. punktu iestādes instrumentus, kuri atpirkti pēc pieprasījuma un kuri ir atbilstīgi saskaņā ar Regulas (ES) Nr. 575/2013 200. panta c) punktu, pielīdzina emitentiestādes garantijai.</w:t>
            </w:r>
            <w:r>
              <w:rPr>
                <w:sz w:val="24"/>
                <w:rFonts w:ascii="Times New Roman" w:hAnsi="Times New Roman"/>
              </w:rPr>
              <w:t xml:space="preserve"> </w:t>
            </w:r>
          </w:p>
        </w:tc>
      </w:tr>
      <w:tr w:rsidR="00087388" w:rsidRPr="00F1728C" w14:paraId="0CC0E77F" w14:textId="77777777" w:rsidTr="11F50173">
        <w:trPr>
          <w:trHeight w:val="316"/>
        </w:trPr>
        <w:tc>
          <w:tcPr>
            <w:tcW w:w="1413" w:type="dxa"/>
          </w:tcPr>
          <w:p w14:paraId="636E6465" w14:textId="77777777" w:rsidR="00087388" w:rsidRPr="00F1728C" w:rsidRDefault="00087388" w:rsidP="00725D4D">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k</w:t>
            </w:r>
          </w:p>
        </w:tc>
        <w:tc>
          <w:tcPr>
            <w:tcW w:w="7654" w:type="dxa"/>
          </w:tcPr>
          <w:p w14:paraId="62A78B77" w14:textId="77777777" w:rsidR="00087388" w:rsidRPr="00F1728C" w:rsidRDefault="00087388" w:rsidP="00725D4D">
            <w:pPr>
              <w:spacing w:after="120"/>
              <w:rPr>
                <w:b/>
                <w:sz w:val="24"/>
                <w:rFonts w:ascii="Times New Roman" w:hAnsi="Times New Roman" w:cs="Times New Roman"/>
              </w:rPr>
            </w:pPr>
            <w:r>
              <w:rPr>
                <w:b/>
                <w:sz w:val="24"/>
                <w:rFonts w:ascii="Times New Roman" w:hAnsi="Times New Roman"/>
              </w:rPr>
              <w:t xml:space="preserve">Nefondētā kredītaizsardzība – to riska darījumu daļa, ko sedz garantijas (%)</w:t>
            </w:r>
          </w:p>
          <w:p w14:paraId="1527F03D" w14:textId="77777777" w:rsidR="00087388" w:rsidRPr="00F1728C" w:rsidRDefault="00087388" w:rsidP="00725D4D">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Ar garantijām nodrošināto riska darījumu procentuālā daļa attiecībā pret kopējiem riska darījumiem, kā norādīts šīs veidnes a ailē.</w:t>
            </w:r>
            <w:r>
              <w:rPr>
                <w:sz w:val="24"/>
                <w:rFonts w:ascii="Times New Roman" w:hAnsi="Times New Roman"/>
              </w:rPr>
              <w:t xml:space="preserve"> </w:t>
            </w:r>
          </w:p>
          <w:p w14:paraId="7DD6855D" w14:textId="45686718" w:rsidR="00087388" w:rsidRPr="00F1728C" w:rsidRDefault="00087388" w:rsidP="11F50173">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Garantijas atbilst Regulas (ES) Nr. 575/2013 213., 214., 215. pantā un 232. panta 4. punktā izklāstītajiem nosacījumiem</w:t>
            </w:r>
            <w:r>
              <w:rPr>
                <w:sz w:val="24"/>
                <w:rFonts w:ascii="Times New Roman" w:hAnsi="Times New Roman"/>
              </w:rPr>
              <w:t xml:space="preserve"> </w:t>
            </w:r>
            <w:r>
              <w:rPr>
                <w:sz w:val="24"/>
                <w:rFonts w:ascii="Times New Roman" w:hAnsi="Times New Roman"/>
              </w:rPr>
              <w:t xml:space="preserve">Garantiju vērtība ir ierobežota līdz riska darījuma vērtībai individuāla riska darījuma līmenī.</w:t>
            </w:r>
          </w:p>
        </w:tc>
      </w:tr>
      <w:tr w:rsidR="00087388" w:rsidRPr="00F1728C" w14:paraId="446F969B" w14:textId="77777777" w:rsidTr="11F50173">
        <w:trPr>
          <w:trHeight w:val="316"/>
        </w:trPr>
        <w:tc>
          <w:tcPr>
            <w:tcW w:w="1413" w:type="dxa"/>
          </w:tcPr>
          <w:p w14:paraId="6A7AFBC4" w14:textId="77777777" w:rsidR="00087388" w:rsidRPr="00F1728C" w:rsidRDefault="00087388" w:rsidP="00725D4D">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l.</w:t>
            </w:r>
          </w:p>
        </w:tc>
        <w:tc>
          <w:tcPr>
            <w:tcW w:w="7654" w:type="dxa"/>
          </w:tcPr>
          <w:p w14:paraId="2AF14E01" w14:textId="77777777" w:rsidR="00087388" w:rsidRPr="00F1728C" w:rsidRDefault="00087388" w:rsidP="00725D4D">
            <w:pPr>
              <w:spacing w:after="120"/>
              <w:rPr>
                <w:b/>
                <w:sz w:val="24"/>
                <w:rFonts w:ascii="Times New Roman" w:hAnsi="Times New Roman" w:cs="Times New Roman"/>
              </w:rPr>
            </w:pPr>
            <w:r>
              <w:rPr>
                <w:b/>
                <w:sz w:val="24"/>
                <w:rFonts w:ascii="Times New Roman" w:hAnsi="Times New Roman"/>
              </w:rPr>
              <w:t xml:space="preserve">Nefondētā kredītaizsardzība – to riska darījumu daļa, ko sedz kredītu atvasinātie instrumenti (%)</w:t>
            </w:r>
            <w:r>
              <w:rPr>
                <w:b/>
                <w:sz w:val="24"/>
                <w:rFonts w:ascii="Times New Roman" w:hAnsi="Times New Roman"/>
              </w:rPr>
              <w:t xml:space="preserve"> </w:t>
            </w:r>
          </w:p>
          <w:p w14:paraId="2A83C95A" w14:textId="77777777" w:rsidR="00087388" w:rsidRPr="00F1728C" w:rsidRDefault="00087388" w:rsidP="00725D4D">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Ar kredītu atvasinātajiem instrumentiem nodrošināto riska darījumu procentuālā daļa attiecībā pret kopējiem riska darījumiem, kā norādīts šīs veidnes a ailē.</w:t>
            </w:r>
          </w:p>
          <w:p w14:paraId="706FD0C7" w14:textId="77777777" w:rsidR="00087388" w:rsidRPr="00F1728C" w:rsidRDefault="00087388" w:rsidP="00725D4D">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Kredītu atvasinātie instrumenti ietver:</w:t>
            </w:r>
          </w:p>
          <w:p w14:paraId="2CBA7958" w14:textId="77777777" w:rsidR="00087388" w:rsidRPr="00F1728C" w:rsidRDefault="00087388" w:rsidP="00725D4D">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 kredītriska mijmaiņas līgumus,</w:t>
            </w:r>
            <w:r>
              <w:rPr>
                <w:sz w:val="24"/>
                <w:rFonts w:ascii="Times New Roman" w:hAnsi="Times New Roman"/>
              </w:rPr>
              <w:t xml:space="preserve"> </w:t>
            </w:r>
          </w:p>
          <w:p w14:paraId="29113A8D" w14:textId="77777777" w:rsidR="00087388" w:rsidRPr="00F1728C" w:rsidRDefault="00087388" w:rsidP="00725D4D">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 kopējo ieņēmumu mijmaiņas līgumus,</w:t>
            </w:r>
          </w:p>
          <w:p w14:paraId="15063D98" w14:textId="77777777" w:rsidR="00087388" w:rsidRPr="00F1728C" w:rsidRDefault="00087388" w:rsidP="00725D4D">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 kredītriskam piesaistītās parādzīmes, ciktāl tās ir segtas ar naudas līdzekļiem.</w:t>
            </w:r>
          </w:p>
          <w:p w14:paraId="51DCACDF" w14:textId="5147D983" w:rsidR="00087388" w:rsidRPr="00F1728C" w:rsidRDefault="00087388" w:rsidP="00C96694">
            <w:pPr>
              <w:autoSpaceDE w:val="0"/>
              <w:autoSpaceDN w:val="0"/>
              <w:adjustRightInd w:val="0"/>
              <w:spacing w:after="120"/>
              <w:ind w:left="720"/>
              <w:jc w:val="both"/>
              <w:rPr>
                <w:sz w:val="24"/>
                <w:rFonts w:ascii="Times New Roman" w:hAnsi="Times New Roman" w:cs="Times New Roman"/>
              </w:rPr>
            </w:pPr>
            <w:r>
              <w:rPr>
                <w:sz w:val="24"/>
                <w:rFonts w:ascii="Times New Roman" w:hAnsi="Times New Roman"/>
              </w:rPr>
              <w:t xml:space="preserve">Šie instrumenti atbilst prasībām, kas noteiktas Regulas (ES) Nr. 575/2013 204. panta 1. un 2. punktā, 213. un 216. pantā.</w:t>
            </w:r>
            <w:r>
              <w:rPr>
                <w:sz w:val="24"/>
                <w:rFonts w:ascii="Times New Roman" w:hAnsi="Times New Roman"/>
              </w:rPr>
              <w:t xml:space="preserve"> </w:t>
            </w:r>
            <w:r>
              <w:rPr>
                <w:sz w:val="24"/>
                <w:rFonts w:ascii="Times New Roman" w:hAnsi="Times New Roman"/>
              </w:rPr>
              <w:t xml:space="preserve">Kredītu atvasināto instrumentu vērtība ir ierobežota līdz riska darījuma vērtībai individuāla riska darījuma līmenī.</w:t>
            </w:r>
          </w:p>
        </w:tc>
      </w:tr>
      <w:tr w:rsidR="00087388" w:rsidRPr="00F1728C" w14:paraId="50B2D825" w14:textId="77777777" w:rsidTr="11F50173">
        <w:trPr>
          <w:trHeight w:val="316"/>
        </w:trPr>
        <w:tc>
          <w:tcPr>
            <w:tcW w:w="1413" w:type="dxa"/>
          </w:tcPr>
          <w:p w14:paraId="7C47E027" w14:textId="77777777" w:rsidR="00087388" w:rsidRPr="00F1728C" w:rsidRDefault="00087388" w:rsidP="00725D4D">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m</w:t>
            </w:r>
          </w:p>
        </w:tc>
        <w:tc>
          <w:tcPr>
            <w:tcW w:w="7654" w:type="dxa"/>
          </w:tcPr>
          <w:p w14:paraId="719A479C" w14:textId="77777777" w:rsidR="00087388" w:rsidRPr="00F1728C" w:rsidRDefault="00087388" w:rsidP="00725D4D">
            <w:pPr>
              <w:autoSpaceDE w:val="0"/>
              <w:autoSpaceDN w:val="0"/>
              <w:adjustRightInd w:val="0"/>
              <w:spacing w:after="120"/>
              <w:jc w:val="both"/>
              <w:rPr>
                <w:b/>
                <w:sz w:val="24"/>
                <w:rFonts w:ascii="Times New Roman" w:hAnsi="Times New Roman" w:cs="Times New Roman"/>
              </w:rPr>
            </w:pPr>
            <w:r>
              <w:rPr>
                <w:b/>
                <w:sz w:val="24"/>
                <w:i/>
                <w:rFonts w:ascii="Times New Roman" w:hAnsi="Times New Roman"/>
              </w:rPr>
              <w:t xml:space="preserve">RWEA</w:t>
            </w:r>
            <w:r>
              <w:rPr>
                <w:b/>
                <w:sz w:val="24"/>
                <w:rFonts w:ascii="Times New Roman" w:hAnsi="Times New Roman"/>
              </w:rPr>
              <w:t xml:space="preserve"> bez aizstāšanas ietekmes (tikai samazināšanas ietekme)</w:t>
            </w:r>
          </w:p>
          <w:p w14:paraId="774E7285" w14:textId="0BAABF0F" w:rsidR="00087388" w:rsidRPr="00F1728C" w:rsidRDefault="00087388" w:rsidP="11F50173">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Riska darījumu riska svērtās vērtības, kas aprēķinātas saskaņā ar Regulas (ES) Nr. 575/2013 92. panta 4. punkta a) un g) apakšpunktu, tajā skaitā jebkāds </w:t>
            </w:r>
            <w:r>
              <w:rPr>
                <w:sz w:val="24"/>
                <w:i/>
                <w:rFonts w:ascii="Times New Roman" w:hAnsi="Times New Roman"/>
              </w:rPr>
              <w:t xml:space="preserve">RWEA</w:t>
            </w:r>
            <w:r>
              <w:rPr>
                <w:sz w:val="24"/>
                <w:rFonts w:ascii="Times New Roman" w:hAnsi="Times New Roman"/>
              </w:rPr>
              <w:t xml:space="preserve"> samazinājums pastāvošas fondētas vai nefondētas kredītaizsardzības dēļ, arī ja </w:t>
            </w:r>
            <w:r>
              <w:rPr>
                <w:sz w:val="24"/>
                <w:i/>
                <w:rFonts w:ascii="Times New Roman" w:hAnsi="Times New Roman"/>
              </w:rPr>
              <w:t xml:space="preserve">PD</w:t>
            </w:r>
            <w:r>
              <w:rPr>
                <w:sz w:val="24"/>
                <w:rFonts w:ascii="Times New Roman" w:hAnsi="Times New Roman"/>
              </w:rPr>
              <w:t xml:space="preserve"> un </w:t>
            </w:r>
            <w:r>
              <w:rPr>
                <w:sz w:val="24"/>
                <w:i/>
                <w:rFonts w:ascii="Times New Roman" w:hAnsi="Times New Roman"/>
              </w:rPr>
              <w:t xml:space="preserve">LGD</w:t>
            </w:r>
            <w:r>
              <w:rPr>
                <w:sz w:val="24"/>
                <w:rFonts w:ascii="Times New Roman" w:hAnsi="Times New Roman"/>
              </w:rPr>
              <w:t xml:space="preserve"> riska pakāpe ir aizstāta, jo pastāv nefondēta kredītaizsardzība.</w:t>
            </w:r>
            <w:r>
              <w:rPr>
                <w:sz w:val="24"/>
                <w:rFonts w:ascii="Times New Roman" w:hAnsi="Times New Roman"/>
              </w:rPr>
              <w:t xml:space="preserve"> </w:t>
            </w:r>
            <w:r>
              <w:rPr>
                <w:sz w:val="24"/>
                <w:rFonts w:ascii="Times New Roman" w:hAnsi="Times New Roman"/>
              </w:rPr>
              <w:t xml:space="preserve">Tomēr visos gadījumos, arī ja izmanto aizstāšanas pieeju, riska darījumus atklāj sākotnējo riska darījumu kategorijās, kas piemērojamas parādniekam.</w:t>
            </w:r>
          </w:p>
        </w:tc>
      </w:tr>
      <w:tr w:rsidR="00087388" w:rsidRPr="00F1728C" w14:paraId="710037D4" w14:textId="77777777" w:rsidTr="11F50173">
        <w:trPr>
          <w:trHeight w:val="316"/>
        </w:trPr>
        <w:tc>
          <w:tcPr>
            <w:tcW w:w="1413" w:type="dxa"/>
          </w:tcPr>
          <w:p w14:paraId="3FB8B379" w14:textId="77777777" w:rsidR="00087388" w:rsidRPr="00F1728C" w:rsidRDefault="00087388" w:rsidP="00725D4D">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n</w:t>
            </w:r>
          </w:p>
        </w:tc>
        <w:tc>
          <w:tcPr>
            <w:tcW w:w="7654" w:type="dxa"/>
          </w:tcPr>
          <w:p w14:paraId="25AEECEC" w14:textId="77777777" w:rsidR="00087388" w:rsidRPr="00F1728C" w:rsidRDefault="00087388" w:rsidP="00725D4D">
            <w:pPr>
              <w:autoSpaceDE w:val="0"/>
              <w:autoSpaceDN w:val="0"/>
              <w:adjustRightInd w:val="0"/>
              <w:spacing w:after="120"/>
              <w:jc w:val="both"/>
              <w:rPr>
                <w:b/>
                <w:sz w:val="24"/>
                <w:rFonts w:ascii="Times New Roman" w:eastAsia="Times New Roman" w:hAnsi="Times New Roman" w:cs="Times New Roman"/>
              </w:rPr>
            </w:pPr>
            <w:r>
              <w:rPr>
                <w:b/>
                <w:sz w:val="24"/>
                <w:i/>
                <w:rFonts w:ascii="Times New Roman" w:hAnsi="Times New Roman"/>
              </w:rPr>
              <w:t xml:space="preserve">RWEA</w:t>
            </w:r>
            <w:r>
              <w:rPr>
                <w:b/>
                <w:sz w:val="24"/>
                <w:rFonts w:ascii="Times New Roman" w:hAnsi="Times New Roman"/>
              </w:rPr>
              <w:t xml:space="preserve"> ar aizstāšanas ietekmi (gan samazinājuma, gan aizstāšanas ietekme)</w:t>
            </w:r>
          </w:p>
          <w:p w14:paraId="154D0450" w14:textId="6337BCB3" w:rsidR="00087388" w:rsidRPr="00F1728C" w:rsidRDefault="00087388" w:rsidP="11F50173">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Riska darījumu riska svērtās vērtības, kas aprēķinātas saskaņā ar Regulas (ES) Nr. 575/2013 153.–157. pantu, tajā skaitā jebkurš </w:t>
            </w:r>
            <w:r>
              <w:rPr>
                <w:sz w:val="24"/>
                <w:i/>
                <w:rFonts w:ascii="Times New Roman" w:hAnsi="Times New Roman"/>
              </w:rPr>
              <w:t xml:space="preserve">RWEA</w:t>
            </w:r>
            <w:r>
              <w:rPr>
                <w:sz w:val="24"/>
                <w:rFonts w:ascii="Times New Roman" w:hAnsi="Times New Roman"/>
              </w:rPr>
              <w:t xml:space="preserve"> samazinājums pastāvošas fondētas vai nefondētas kredītaizsardzības dēļ.</w:t>
            </w:r>
            <w:r>
              <w:rPr>
                <w:sz w:val="24"/>
                <w:rFonts w:ascii="Times New Roman" w:hAnsi="Times New Roman"/>
              </w:rPr>
              <w:t xml:space="preserve"> </w:t>
            </w:r>
            <w:r>
              <w:rPr>
                <w:sz w:val="24"/>
                <w:rFonts w:ascii="Times New Roman" w:hAnsi="Times New Roman"/>
              </w:rPr>
              <w:t xml:space="preserve">Ja </w:t>
            </w:r>
            <w:r>
              <w:rPr>
                <w:sz w:val="24"/>
                <w:i/>
                <w:rFonts w:ascii="Times New Roman" w:hAnsi="Times New Roman"/>
              </w:rPr>
              <w:t xml:space="preserve">PD</w:t>
            </w:r>
            <w:r>
              <w:rPr>
                <w:sz w:val="24"/>
                <w:rFonts w:ascii="Times New Roman" w:hAnsi="Times New Roman"/>
              </w:rPr>
              <w:t xml:space="preserve"> un </w:t>
            </w:r>
            <w:r>
              <w:rPr>
                <w:sz w:val="24"/>
                <w:i/>
                <w:rFonts w:ascii="Times New Roman" w:hAnsi="Times New Roman"/>
              </w:rPr>
              <w:t xml:space="preserve">LGD</w:t>
            </w:r>
            <w:r>
              <w:rPr>
                <w:sz w:val="24"/>
                <w:rFonts w:ascii="Times New Roman" w:hAnsi="Times New Roman"/>
              </w:rPr>
              <w:t xml:space="preserve"> vai riska pakāpe ir aizstāta pastāvošas nefondētas kredītaizsardzības dēļ, riska darījumus atklāj riska darījumu kategorijā, kas piemērojama aizsardzības devējam.</w:t>
            </w:r>
          </w:p>
        </w:tc>
      </w:tr>
    </w:tbl>
    <w:p w14:paraId="34CE0A41" w14:textId="77777777" w:rsidR="00087388" w:rsidRPr="00F1728C" w:rsidRDefault="00087388" w:rsidP="0008738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399A73BD" w14:textId="77777777" w:rsidTr="11F50173">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4B3D7768" w14:textId="77777777" w:rsidR="00087388" w:rsidRPr="00F1728C" w:rsidRDefault="00087388" w:rsidP="00725D4D">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Atsauce uz rindu</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BE48C4" w14:textId="77777777" w:rsidR="00087388" w:rsidRPr="00F1728C" w:rsidRDefault="00087388" w:rsidP="00725D4D">
            <w:pPr>
              <w:spacing w:after="120"/>
              <w:rPr>
                <w:b/>
                <w:sz w:val="24"/>
                <w:rFonts w:ascii="Times New Roman" w:hAnsi="Times New Roman" w:cs="Times New Roman"/>
              </w:rPr>
            </w:pPr>
            <w:r>
              <w:rPr>
                <w:b/>
                <w:sz w:val="24"/>
                <w:rFonts w:ascii="Times New Roman" w:hAnsi="Times New Roman"/>
              </w:rPr>
              <w:t xml:space="preserve">Atsauces uz tiesību aktiem un norādījumi</w:t>
            </w:r>
          </w:p>
        </w:tc>
      </w:tr>
      <w:tr w:rsidR="00087388" w:rsidRPr="00F1728C" w14:paraId="65737CE2" w14:textId="77777777" w:rsidTr="11F50173">
        <w:trPr>
          <w:trHeight w:val="237"/>
        </w:trPr>
        <w:tc>
          <w:tcPr>
            <w:tcW w:w="1413" w:type="dxa"/>
            <w:vMerge/>
          </w:tcPr>
          <w:p w14:paraId="62EBF3C5"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43CDFC67" w14:textId="77777777" w:rsidR="00087388" w:rsidRPr="00F1728C" w:rsidRDefault="00087388" w:rsidP="00725D4D">
            <w:pPr>
              <w:autoSpaceDE w:val="0"/>
              <w:autoSpaceDN w:val="0"/>
              <w:adjustRightInd w:val="0"/>
              <w:spacing w:after="120"/>
              <w:rPr>
                <w:color w:val="000000"/>
                <w:sz w:val="24"/>
                <w:rFonts w:ascii="Times New Roman" w:hAnsi="Times New Roman" w:cs="Times New Roman"/>
              </w:rPr>
            </w:pPr>
            <w:r>
              <w:rPr>
                <w:b/>
                <w:sz w:val="24"/>
                <w:rFonts w:ascii="Times New Roman" w:hAnsi="Times New Roman"/>
              </w:rPr>
              <w:t xml:space="preserve">Paskaidrojums</w:t>
            </w:r>
          </w:p>
        </w:tc>
      </w:tr>
      <w:tr w:rsidR="00087388" w:rsidRPr="00F1728C" w14:paraId="1BA109EF" w14:textId="77777777" w:rsidTr="11F50173">
        <w:trPr>
          <w:trHeight w:val="316"/>
        </w:trPr>
        <w:tc>
          <w:tcPr>
            <w:tcW w:w="1413" w:type="dxa"/>
          </w:tcPr>
          <w:p w14:paraId="29D6B04F" w14:textId="77777777" w:rsidR="00087388" w:rsidRPr="00F1728C" w:rsidRDefault="00087388" w:rsidP="00725D4D">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 </w:t>
            </w:r>
          </w:p>
        </w:tc>
        <w:tc>
          <w:tcPr>
            <w:tcW w:w="7654" w:type="dxa"/>
          </w:tcPr>
          <w:p w14:paraId="15A76DE6" w14:textId="77777777" w:rsidR="00087388" w:rsidRPr="00F1728C" w:rsidRDefault="00087388" w:rsidP="00725D4D">
            <w:pPr>
              <w:pStyle w:val="Default"/>
              <w:spacing w:after="120"/>
              <w:jc w:val="both"/>
              <w:rPr>
                <w:rFonts w:ascii="Times New Roman" w:hAnsi="Times New Roman" w:cs="Times New Roman"/>
              </w:rPr>
            </w:pPr>
            <w:r>
              <w:rPr>
                <w:rFonts w:ascii="Times New Roman" w:hAnsi="Times New Roman"/>
              </w:rPr>
              <w:t xml:space="preserve">Šo informāciju atklāj atsevišķi par riska darījumiem, kam piemēro </w:t>
            </w:r>
            <w:r>
              <w:rPr>
                <w:i/>
                <w:rFonts w:ascii="Times New Roman" w:hAnsi="Times New Roman"/>
              </w:rPr>
              <w:t xml:space="preserve">A-IRB</w:t>
            </w:r>
            <w:r>
              <w:rPr>
                <w:rFonts w:ascii="Times New Roman" w:hAnsi="Times New Roman"/>
              </w:rPr>
              <w:t xml:space="preserve"> pieeju, riska darījumiem, kam piemēro </w:t>
            </w:r>
            <w:r>
              <w:rPr>
                <w:i/>
                <w:rFonts w:ascii="Times New Roman" w:hAnsi="Times New Roman"/>
              </w:rPr>
              <w:t xml:space="preserve">F-IRB</w:t>
            </w:r>
            <w:r>
              <w:rPr>
                <w:rFonts w:ascii="Times New Roman" w:hAnsi="Times New Roman"/>
              </w:rPr>
              <w:t xml:space="preserve"> pieeju, kā arī specializēto kreditēšanu atbilstoši grupēšanas pieejai un kapitāla vērtspapīru riska darījumiem.</w:t>
            </w:r>
            <w:r>
              <w:rPr>
                <w:color w:val="auto"/>
                <w:rFonts w:ascii="Times New Roman" w:hAnsi="Times New Roman"/>
              </w:rPr>
              <w:tab/>
            </w:r>
          </w:p>
        </w:tc>
      </w:tr>
      <w:tr w:rsidR="00087388" w:rsidRPr="00F1728C" w14:paraId="1A2F0F2D" w14:textId="77777777" w:rsidTr="11F50173">
        <w:trPr>
          <w:trHeight w:val="316"/>
        </w:trPr>
        <w:tc>
          <w:tcPr>
            <w:tcW w:w="1413" w:type="dxa"/>
          </w:tcPr>
          <w:p w14:paraId="6D98A12B"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p>
          <w:p w14:paraId="543F5773" w14:textId="77777777" w:rsidR="00087388" w:rsidRPr="00F1728C" w:rsidRDefault="00087388" w:rsidP="00725D4D">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 </w:t>
            </w:r>
            <w:r>
              <w:rPr>
                <w:sz w:val="24"/>
                <w:i/>
                <w:rFonts w:ascii="Times New Roman" w:hAnsi="Times New Roman"/>
              </w:rPr>
              <w:t xml:space="preserve">A-IRB</w:t>
            </w:r>
          </w:p>
        </w:tc>
        <w:tc>
          <w:tcPr>
            <w:tcW w:w="7654" w:type="dxa"/>
          </w:tcPr>
          <w:p w14:paraId="19047FB2" w14:textId="22D4A027" w:rsidR="00CB5E48" w:rsidRPr="00F1728C" w:rsidRDefault="00087388" w:rsidP="11F50173">
            <w:pPr>
              <w:pStyle w:val="Default"/>
              <w:spacing w:after="120"/>
              <w:rPr>
                <w:rFonts w:ascii="Times New Roman" w:eastAsia="Times New Roman" w:hAnsi="Times New Roman" w:cs="Times New Roman"/>
              </w:rPr>
            </w:pPr>
            <w:r>
              <w:rPr>
                <w:rFonts w:ascii="Times New Roman" w:hAnsi="Times New Roman"/>
              </w:rPr>
              <w:t xml:space="preserve">Iestādes atklāj informāciju par šajā veidnē ietvertajām kredītriska mazināšanas metodēm sadalījumā pa riska darījumu kategorijām atbilstoši riska darījumu kategorijām, kas uzskaitītas Regulas (ES) Nr. 575/2013 147. panta 2. punktā, ar sīkāku sadalījumu šādās riska darījumu kategorijās:</w:t>
            </w:r>
            <w:r>
              <w:rPr>
                <w:rFonts w:ascii="Times New Roman" w:hAnsi="Times New Roman"/>
              </w:rPr>
              <w:t xml:space="preserve"> </w:t>
            </w:r>
          </w:p>
          <w:p w14:paraId="397AD12E" w14:textId="5210C605" w:rsidR="00CB5E48" w:rsidRPr="00F1728C" w:rsidRDefault="00CB5E48" w:rsidP="00CB5E48">
            <w:pPr>
              <w:spacing w:after="120"/>
              <w:jc w:val="both"/>
              <w:rPr>
                <w:sz w:val="24"/>
                <w:rFonts w:ascii="Times New Roman" w:hAnsi="Times New Roman" w:cs="Times New Roman"/>
              </w:rPr>
            </w:pPr>
            <w:r>
              <w:rPr>
                <w:sz w:val="24"/>
                <w:rFonts w:ascii="Times New Roman" w:hAnsi="Times New Roman"/>
              </w:rPr>
              <w:t xml:space="preserve">— riska darījumu kategorijā “riska darījumi ar komercsabiedrībām” – sadalījums saskaņā ar 147. panta 2. punkta c) apakšpunkta i), ii) un iii) punktu,</w:t>
            </w:r>
          </w:p>
          <w:p w14:paraId="6C25BE4E" w14:textId="77777777" w:rsidR="00CB5E48" w:rsidRPr="00F1728C" w:rsidRDefault="00CB5E48" w:rsidP="00CB5E48">
            <w:pPr>
              <w:pStyle w:val="Default"/>
              <w:spacing w:after="120"/>
              <w:rPr>
                <w:iCs/>
                <w:rFonts w:ascii="Times New Roman" w:eastAsia="Times New Roman" w:hAnsi="Times New Roman" w:cs="Times New Roman"/>
              </w:rPr>
            </w:pPr>
            <w:r>
              <w:rPr>
                <w:rFonts w:ascii="Times New Roman" w:hAnsi="Times New Roman"/>
              </w:rPr>
              <w:t xml:space="preserve">— riska darījumu kategorijā “riska darījumi ar privātpersonām vai MVU” – sadalījums saskaņā ar 147. panta 2. punkta d) apakšpunkta i), ii), iii) un iv) punktu.</w:t>
            </w:r>
          </w:p>
          <w:p w14:paraId="356BC85D" w14:textId="554860E0" w:rsidR="00087388" w:rsidRPr="00F1728C" w:rsidRDefault="00087388" w:rsidP="00725D4D">
            <w:pPr>
              <w:autoSpaceDE w:val="0"/>
              <w:autoSpaceDN w:val="0"/>
              <w:adjustRightInd w:val="0"/>
              <w:spacing w:after="120"/>
              <w:ind w:left="720"/>
              <w:jc w:val="both"/>
              <w:rPr>
                <w:rFonts w:ascii="Times New Roman" w:hAnsi="Times New Roman" w:cs="Times New Roman"/>
                <w:sz w:val="24"/>
              </w:rPr>
            </w:pPr>
          </w:p>
        </w:tc>
      </w:tr>
      <w:tr w:rsidR="00087388" w:rsidRPr="00F1728C" w14:paraId="22CBC58A" w14:textId="77777777" w:rsidTr="11F50173">
        <w:trPr>
          <w:trHeight w:val="316"/>
        </w:trPr>
        <w:tc>
          <w:tcPr>
            <w:tcW w:w="1413" w:type="dxa"/>
          </w:tcPr>
          <w:p w14:paraId="2946DB82"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p>
          <w:p w14:paraId="1FB2F8E9" w14:textId="77777777" w:rsidR="00087388" w:rsidRPr="00F1728C" w:rsidRDefault="00087388" w:rsidP="00725D4D">
            <w:pPr>
              <w:autoSpaceDE w:val="0"/>
              <w:autoSpaceDN w:val="0"/>
              <w:adjustRightInd w:val="0"/>
              <w:spacing w:after="120"/>
              <w:jc w:val="both"/>
              <w:rPr>
                <w:sz w:val="24"/>
                <w:rFonts w:ascii="Times New Roman" w:eastAsia="Times New Roman" w:hAnsi="Times New Roman" w:cs="Times New Roman"/>
              </w:rPr>
            </w:pPr>
            <w:r>
              <w:rPr>
                <w:sz w:val="24"/>
                <w:i/>
                <w:rFonts w:ascii="Times New Roman" w:hAnsi="Times New Roman"/>
              </w:rPr>
              <w:t xml:space="preserve">F-IRB</w:t>
            </w:r>
          </w:p>
        </w:tc>
        <w:tc>
          <w:tcPr>
            <w:tcW w:w="7654" w:type="dxa"/>
          </w:tcPr>
          <w:p w14:paraId="6A6EA4D6" w14:textId="54B95CE5" w:rsidR="00087388" w:rsidRPr="00F1728C" w:rsidRDefault="00087388" w:rsidP="11F50173">
            <w:pPr>
              <w:pStyle w:val="Default"/>
              <w:spacing w:after="120"/>
              <w:rPr>
                <w:rFonts w:ascii="Times New Roman" w:eastAsia="Times New Roman" w:hAnsi="Times New Roman" w:cs="Times New Roman"/>
              </w:rPr>
            </w:pPr>
            <w:r>
              <w:rPr>
                <w:rFonts w:ascii="Times New Roman" w:hAnsi="Times New Roman"/>
              </w:rPr>
              <w:t xml:space="preserve">Iestādes atklāj informāciju par šajā veidnē ietvertajām kredītriska mazināšanas metodēm sadalījumā pa riska darījumu kategorijām atbilstoši riska darījumu kategorijām, kas uzskaitītas Regulas (ES) Nr. 575/2013 147. panta 2. punktā, ar sīkāku sadalījumu šādā riska darījumu kategorijā:</w:t>
            </w:r>
            <w:r>
              <w:rPr>
                <w:rFonts w:ascii="Times New Roman" w:hAnsi="Times New Roman"/>
              </w:rPr>
              <w:t xml:space="preserve"> </w:t>
            </w:r>
          </w:p>
          <w:p w14:paraId="45A5AA8D" w14:textId="77777777" w:rsidR="00CB5E48" w:rsidRPr="00F1728C" w:rsidRDefault="00CB5E48" w:rsidP="00CB5E48">
            <w:pPr>
              <w:spacing w:after="120"/>
              <w:jc w:val="both"/>
              <w:rPr>
                <w:sz w:val="24"/>
                <w:rFonts w:ascii="Times New Roman" w:hAnsi="Times New Roman" w:cs="Times New Roman"/>
              </w:rPr>
            </w:pPr>
            <w:r>
              <w:rPr>
                <w:sz w:val="24"/>
                <w:rFonts w:ascii="Times New Roman" w:hAnsi="Times New Roman"/>
              </w:rPr>
              <w:t xml:space="preserve">— riska darījumu kategorijā “riska darījumi ar komercsabiedrībām” – sadalījums saskaņā ar Regulas (ES) Nr. 575/2013 147. panta 2. punkta c) apakšpunkta i), ii) un iii) punktu.</w:t>
            </w:r>
          </w:p>
          <w:p w14:paraId="4A3F3760" w14:textId="4750808D" w:rsidR="00087388" w:rsidRPr="00F1728C" w:rsidRDefault="00CB5E48" w:rsidP="00725D4D">
            <w:pPr>
              <w:autoSpaceDE w:val="0"/>
              <w:autoSpaceDN w:val="0"/>
              <w:adjustRightInd w:val="0"/>
              <w:spacing w:after="120"/>
              <w:ind w:left="720"/>
              <w:jc w:val="both"/>
              <w:rPr>
                <w:iCs/>
                <w:sz w:val="24"/>
                <w:rFonts w:ascii="Times New Roman" w:eastAsia="Times New Roman" w:hAnsi="Times New Roman" w:cs="Times New Roman"/>
              </w:rPr>
            </w:pPr>
            <w:r>
              <w:rPr>
                <w:rFonts w:ascii="Times New Roman" w:hAnsi="Times New Roman"/>
              </w:rPr>
              <w:t xml:space="preserve"> </w:t>
            </w:r>
          </w:p>
        </w:tc>
      </w:tr>
    </w:tbl>
    <w:p w14:paraId="5F90E7FE" w14:textId="77777777" w:rsidR="00087388" w:rsidRPr="00F1728C" w:rsidRDefault="00087388" w:rsidP="00087388">
      <w:pPr>
        <w:spacing w:before="240" w:after="120"/>
        <w:rPr>
          <w:b/>
          <w:sz w:val="24"/>
          <w:rFonts w:ascii="Times New Roman" w:hAnsi="Times New Roman" w:cs="Times New Roman"/>
        </w:rPr>
      </w:pPr>
      <w:r>
        <w:rPr>
          <w:b/>
          <w:sz w:val="24"/>
          <w:rFonts w:ascii="Times New Roman" w:hAnsi="Times New Roman"/>
        </w:rPr>
        <w:t xml:space="preserve">Veidne EU CR8 – Kredītriska darījumu riska svērto vērtību plūsmas pārskati saskaņā ar </w:t>
      </w:r>
      <w:r>
        <w:rPr>
          <w:b/>
          <w:sz w:val="24"/>
          <w:i/>
          <w:rFonts w:ascii="Times New Roman" w:hAnsi="Times New Roman"/>
        </w:rPr>
        <w:t xml:space="preserve">IRB</w:t>
      </w:r>
      <w:r>
        <w:rPr>
          <w:b/>
          <w:sz w:val="24"/>
          <w:rFonts w:ascii="Times New Roman" w:hAnsi="Times New Roman"/>
        </w:rPr>
        <w:t xml:space="preserve"> pieeju.</w:t>
      </w:r>
      <w:r>
        <w:rPr>
          <w:b/>
          <w:sz w:val="24"/>
          <w:rFonts w:ascii="Times New Roman" w:hAnsi="Times New Roman"/>
        </w:rPr>
        <w:t xml:space="preserve"> </w:t>
      </w:r>
      <w:r>
        <w:rPr>
          <w:b/>
          <w:sz w:val="24"/>
          <w:rFonts w:ascii="Times New Roman" w:hAnsi="Times New Roman"/>
        </w:rPr>
        <w:t xml:space="preserve">Fiksēta veidne.</w:t>
      </w:r>
      <w:r>
        <w:rPr>
          <w:b/>
          <w:sz w:val="24"/>
          <w:rFonts w:ascii="Times New Roman" w:hAnsi="Times New Roman"/>
        </w:rPr>
        <w:t xml:space="preserve"> </w:t>
      </w:r>
    </w:p>
    <w:p w14:paraId="6726176A" w14:textId="147FC40D" w:rsidR="00087388" w:rsidRPr="00F1728C" w:rsidRDefault="00087388" w:rsidP="11F50173">
      <w:pPr>
        <w:pStyle w:val="ListParagraph"/>
        <w:numPr>
          <w:ilvl w:val="0"/>
          <w:numId w:val="7"/>
        </w:numPr>
        <w:spacing w:after="120"/>
        <w:ind w:left="714" w:hanging="357"/>
        <w:jc w:val="both"/>
        <w:rPr>
          <w:sz w:val="24"/>
          <w:szCs w:val="24"/>
          <w:rFonts w:ascii="Times New Roman" w:hAnsi="Times New Roman"/>
        </w:rPr>
      </w:pPr>
      <w:r>
        <w:rPr>
          <w:sz w:val="24"/>
          <w:rFonts w:ascii="Times New Roman" w:hAnsi="Times New Roman"/>
        </w:rPr>
        <w:t xml:space="preserve">Iestādes atklāj Regulas (ES) Nr. 575/2013 438. panta h) punktā minēto informāciju, ievērojot turpmāk šajā pielikumā sniegtos norādījumus, lai aizpildītu veidni EU CR8, kas ietverta EBI IT risinājumu XXI pielikumā.</w:t>
      </w:r>
      <w:r>
        <w:rPr>
          <w:sz w:val="24"/>
          <w:rFonts w:ascii="Times New Roman" w:hAnsi="Times New Roman"/>
        </w:rPr>
        <w:t xml:space="preserve"> </w:t>
      </w:r>
      <w:r>
        <w:rPr>
          <w:sz w:val="24"/>
          <w:rFonts w:ascii="Times New Roman" w:hAnsi="Times New Roman"/>
        </w:rPr>
        <w:t xml:space="preserve">Informācijā, ko sniedz šajā veidnē, neiekļauj darījuma partnera kredītriska (</w:t>
      </w:r>
      <w:r>
        <w:rPr>
          <w:sz w:val="24"/>
          <w:i/>
          <w:rFonts w:ascii="Times New Roman" w:hAnsi="Times New Roman"/>
        </w:rPr>
        <w:t xml:space="preserve">CCR</w:t>
      </w:r>
      <w:r>
        <w:rPr>
          <w:sz w:val="24"/>
          <w:rFonts w:ascii="Times New Roman" w:hAnsi="Times New Roman"/>
        </w:rPr>
        <w:t xml:space="preserve">) riska darījumus (Regulas (ES) Nr. 575/2013 trešās daļas II sadaļas 6. nodaļa).</w:t>
      </w:r>
    </w:p>
    <w:p w14:paraId="260EF26D" w14:textId="77777777" w:rsidR="00087388" w:rsidRPr="00F1728C" w:rsidRDefault="00087388" w:rsidP="003B7D6C">
      <w:pPr>
        <w:pStyle w:val="ListParagraph"/>
        <w:numPr>
          <w:ilvl w:val="0"/>
          <w:numId w:val="7"/>
        </w:numPr>
        <w:spacing w:after="120"/>
        <w:jc w:val="both"/>
        <w:rPr>
          <w:sz w:val="24"/>
          <w:szCs w:val="24"/>
          <w:rFonts w:ascii="Times New Roman" w:hAnsi="Times New Roman"/>
        </w:rPr>
      </w:pPr>
      <w:r>
        <w:rPr>
          <w:sz w:val="24"/>
          <w:color w:val="000000" w:themeColor="text1"/>
          <w:rFonts w:ascii="Times New Roman" w:hAnsi="Times New Roman"/>
        </w:rPr>
        <w:t xml:space="preserve">Iestādes atklāj </w:t>
      </w:r>
      <w:r>
        <w:rPr>
          <w:sz w:val="24"/>
          <w:color w:val="000000" w:themeColor="text1"/>
          <w:i/>
          <w:rFonts w:ascii="Times New Roman" w:hAnsi="Times New Roman"/>
        </w:rPr>
        <w:t xml:space="preserve">RWEA</w:t>
      </w:r>
      <w:r>
        <w:rPr>
          <w:sz w:val="24"/>
          <w:color w:val="000000" w:themeColor="text1"/>
          <w:rFonts w:ascii="Times New Roman" w:hAnsi="Times New Roman"/>
        </w:rPr>
        <w:t xml:space="preserve"> plūsmas kā izmaiņas starp riska darījumu riska svērtajām vērtībām informācijas atklāšanas atsauces perioda beigās (kā norādīts turpmāk šīs veidnes 9. rindā) un riska darījumu riska svērtajām vērtībām iepriekšējā informācijas atklāšanas atsauces perioda beigās (kā norādīts turpmāk šīs veidnes 1. rindā;</w:t>
      </w:r>
      <w:r>
        <w:rPr>
          <w:sz w:val="24"/>
          <w:color w:val="000000" w:themeColor="text1"/>
          <w:rFonts w:ascii="Times New Roman" w:hAnsi="Times New Roman"/>
        </w:rPr>
        <w:t xml:space="preserve"> </w:t>
      </w:r>
      <w:r>
        <w:rPr>
          <w:sz w:val="24"/>
          <w:color w:val="000000" w:themeColor="text1"/>
          <w:rFonts w:ascii="Times New Roman" w:hAnsi="Times New Roman"/>
        </w:rPr>
        <w:t xml:space="preserve">ja informāciju atklāj pa ceturkšņiem – ceturkšņa beigās pirms informācijas atklāšanas atsauces perioda ceturkšņa).</w:t>
      </w:r>
      <w:r>
        <w:rPr>
          <w:sz w:val="24"/>
          <w:color w:val="000000" w:themeColor="text1"/>
          <w:rFonts w:ascii="Times New Roman" w:hAnsi="Times New Roman"/>
        </w:rPr>
        <w:t xml:space="preserve"> </w:t>
      </w:r>
      <w:r>
        <w:rPr>
          <w:sz w:val="24"/>
          <w:color w:val="000000" w:themeColor="text1"/>
          <w:rFonts w:ascii="Times New Roman" w:hAnsi="Times New Roman"/>
        </w:rPr>
        <w:t xml:space="preserve">Iestādes var papildināt savu par 3. pīlāru atklāto informāciju, atklājot to pašu informāciju par trīs iepriekšējiem ceturkšņiem.</w:t>
      </w:r>
    </w:p>
    <w:p w14:paraId="502EB8C1" w14:textId="77777777" w:rsidR="00087388" w:rsidRPr="00F1728C" w:rsidRDefault="00087388" w:rsidP="003B7D6C">
      <w:pPr>
        <w:pStyle w:val="ListParagraph"/>
        <w:numPr>
          <w:ilvl w:val="0"/>
          <w:numId w:val="7"/>
        </w:numPr>
        <w:spacing w:after="120"/>
        <w:ind w:left="714" w:hanging="357"/>
        <w:jc w:val="both"/>
        <w:rPr>
          <w:sz w:val="24"/>
          <w:rFonts w:ascii="Times New Roman" w:hAnsi="Times New Roman"/>
        </w:rPr>
      </w:pPr>
      <w:r>
        <w:rPr>
          <w:sz w:val="24"/>
          <w:rFonts w:ascii="Times New Roman" w:hAnsi="Times New Roman"/>
        </w:rPr>
        <w:t xml:space="preserve">Iestādes papildina veidni ar izklāstu, kurā paskaidro šīs veidnes 8. rindā ietvertos skaitļus, t. i., jebkurus citus faktorus, kas būtiski veicina </w:t>
      </w:r>
      <w:r>
        <w:rPr>
          <w:sz w:val="24"/>
          <w:i/>
          <w:rFonts w:ascii="Times New Roman" w:hAnsi="Times New Roman"/>
        </w:rPr>
        <w:t xml:space="preserve">RWEA</w:t>
      </w:r>
      <w:r>
        <w:rPr>
          <w:sz w:val="24"/>
          <w:rFonts w:ascii="Times New Roman" w:hAnsi="Times New Roman"/>
        </w:rPr>
        <w:t xml:space="preserve"> izmaiņas.</w:t>
      </w:r>
      <w:r>
        <w:rPr>
          <w:sz w:val="24"/>
          <w:rFonts w:ascii="Times New Roman" w:hAnsi="Times New Roman"/>
        </w:rPr>
        <w:t xml:space="preserve">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126787A2" w14:textId="77777777" w:rsidTr="63E31B68">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33B921DC" w14:textId="77777777" w:rsidR="00087388" w:rsidRPr="00F1728C" w:rsidRDefault="00087388" w:rsidP="00725D4D">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Atsauce uz aili</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A0D92A" w14:textId="77777777" w:rsidR="00087388" w:rsidRPr="00F1728C" w:rsidRDefault="00087388" w:rsidP="00725D4D">
            <w:pPr>
              <w:spacing w:after="120"/>
              <w:rPr>
                <w:b/>
                <w:sz w:val="24"/>
                <w:rFonts w:ascii="Times New Roman" w:hAnsi="Times New Roman" w:cs="Times New Roman"/>
              </w:rPr>
            </w:pPr>
            <w:r>
              <w:rPr>
                <w:b/>
                <w:sz w:val="24"/>
                <w:rFonts w:ascii="Times New Roman" w:hAnsi="Times New Roman"/>
              </w:rPr>
              <w:t xml:space="preserve">Atsauces uz tiesību aktiem un norādījumi</w:t>
            </w:r>
          </w:p>
        </w:tc>
      </w:tr>
      <w:tr w:rsidR="00087388" w:rsidRPr="00F1728C" w14:paraId="6A28C393" w14:textId="77777777" w:rsidTr="63E31B68">
        <w:trPr>
          <w:trHeight w:val="420"/>
        </w:trPr>
        <w:tc>
          <w:tcPr>
            <w:tcW w:w="1413" w:type="dxa"/>
            <w:vMerge/>
          </w:tcPr>
          <w:p w14:paraId="5997CC1D"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3ED0E6CE" w14:textId="77777777" w:rsidR="00087388" w:rsidRPr="00F1728C" w:rsidRDefault="00087388" w:rsidP="00725D4D">
            <w:pPr>
              <w:autoSpaceDE w:val="0"/>
              <w:autoSpaceDN w:val="0"/>
              <w:adjustRightInd w:val="0"/>
              <w:spacing w:after="120"/>
              <w:rPr>
                <w:color w:val="000000"/>
                <w:sz w:val="24"/>
                <w:rFonts w:ascii="Times New Roman" w:hAnsi="Times New Roman" w:cs="Times New Roman"/>
              </w:rPr>
            </w:pPr>
            <w:r>
              <w:rPr>
                <w:b/>
                <w:sz w:val="24"/>
                <w:rFonts w:ascii="Times New Roman" w:hAnsi="Times New Roman"/>
              </w:rPr>
              <w:t xml:space="preserve">Paskaidrojums</w:t>
            </w:r>
          </w:p>
        </w:tc>
      </w:tr>
      <w:tr w:rsidR="00087388" w:rsidRPr="00F1728C" w14:paraId="696BA88B" w14:textId="77777777" w:rsidTr="63E31B68">
        <w:trPr>
          <w:trHeight w:val="741"/>
        </w:trPr>
        <w:tc>
          <w:tcPr>
            <w:tcW w:w="1413" w:type="dxa"/>
            <w:shd w:val="clear" w:color="auto" w:fill="auto"/>
          </w:tcPr>
          <w:p w14:paraId="1C8780F8" w14:textId="77777777" w:rsidR="00087388" w:rsidRPr="00F1728C" w:rsidRDefault="00087388" w:rsidP="00725D4D">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a</w:t>
            </w:r>
          </w:p>
        </w:tc>
        <w:tc>
          <w:tcPr>
            <w:tcW w:w="7654" w:type="dxa"/>
            <w:shd w:val="clear" w:color="auto" w:fill="auto"/>
          </w:tcPr>
          <w:p w14:paraId="491809DE" w14:textId="77777777" w:rsidR="00087388" w:rsidRPr="00F1728C" w:rsidRDefault="00087388" w:rsidP="00725D4D">
            <w:pPr>
              <w:autoSpaceDE w:val="0"/>
              <w:autoSpaceDN w:val="0"/>
              <w:adjustRightInd w:val="0"/>
              <w:spacing w:after="120"/>
              <w:jc w:val="both"/>
              <w:rPr>
                <w:b/>
                <w:sz w:val="24"/>
                <w:rFonts w:ascii="Times New Roman" w:eastAsia="Times New Roman" w:hAnsi="Times New Roman" w:cs="Times New Roman"/>
              </w:rPr>
            </w:pPr>
            <w:r>
              <w:rPr>
                <w:b/>
                <w:sz w:val="24"/>
                <w:rFonts w:ascii="Times New Roman" w:hAnsi="Times New Roman"/>
              </w:rPr>
              <w:t xml:space="preserve">Riska darījumu riska svērtā vērtība</w:t>
            </w:r>
          </w:p>
          <w:p w14:paraId="46440802" w14:textId="23696277" w:rsidR="00087388" w:rsidRPr="00F1728C" w:rsidRDefault="00087388" w:rsidP="11F50173">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Kopējā riska darījumu riska svērtā vērtība kredītriskam, kas aprēķināta saskaņā ar </w:t>
            </w:r>
            <w:r>
              <w:rPr>
                <w:sz w:val="24"/>
                <w:i/>
                <w:rFonts w:ascii="Times New Roman" w:hAnsi="Times New Roman"/>
              </w:rPr>
              <w:t xml:space="preserve">IRB</w:t>
            </w:r>
            <w:r>
              <w:rPr>
                <w:sz w:val="24"/>
                <w:rFonts w:ascii="Times New Roman" w:hAnsi="Times New Roman"/>
              </w:rPr>
              <w:t xml:space="preserve"> pieeju, ņemot vērā atbalsta faktorus saskaņā ar Regulas (ES) Nr. 575/2013 501. un 501.a pantu.</w:t>
            </w:r>
          </w:p>
        </w:tc>
      </w:tr>
    </w:tbl>
    <w:p w14:paraId="110FFD37" w14:textId="77777777" w:rsidR="00087388" w:rsidRPr="00F1728C" w:rsidRDefault="00087388" w:rsidP="0008738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7EC9B111" w14:textId="77777777" w:rsidTr="00725D4D">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4EA39009" w14:textId="77777777" w:rsidR="00087388" w:rsidRPr="00F1728C" w:rsidRDefault="00087388" w:rsidP="00725D4D">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Rindas numurs</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F24CAA" w14:textId="77777777" w:rsidR="00087388" w:rsidRPr="00F1728C" w:rsidRDefault="00087388" w:rsidP="00725D4D">
            <w:pPr>
              <w:spacing w:after="120"/>
              <w:rPr>
                <w:b/>
                <w:sz w:val="24"/>
                <w:rFonts w:ascii="Times New Roman" w:hAnsi="Times New Roman" w:cs="Times New Roman"/>
              </w:rPr>
            </w:pPr>
            <w:r>
              <w:rPr>
                <w:b/>
                <w:sz w:val="24"/>
                <w:rFonts w:ascii="Times New Roman" w:hAnsi="Times New Roman"/>
              </w:rPr>
              <w:t xml:space="preserve">Atsauces uz tiesību aktiem un norādījumi</w:t>
            </w:r>
          </w:p>
        </w:tc>
      </w:tr>
      <w:tr w:rsidR="00087388" w:rsidRPr="00F1728C" w14:paraId="5E65058D" w14:textId="77777777" w:rsidTr="00725D4D">
        <w:trPr>
          <w:trHeight w:val="336"/>
        </w:trPr>
        <w:tc>
          <w:tcPr>
            <w:tcW w:w="1413" w:type="dxa"/>
            <w:vMerge/>
            <w:tcBorders>
              <w:left w:val="single" w:sz="4" w:space="0" w:color="auto"/>
              <w:right w:val="single" w:sz="4" w:space="0" w:color="auto"/>
            </w:tcBorders>
            <w:shd w:val="clear" w:color="auto" w:fill="D9D9D9" w:themeFill="background1" w:themeFillShade="D9"/>
          </w:tcPr>
          <w:p w14:paraId="6B699379"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10AFF437" w14:textId="77777777" w:rsidR="00087388" w:rsidRPr="00F1728C" w:rsidRDefault="00087388" w:rsidP="00725D4D">
            <w:pPr>
              <w:autoSpaceDE w:val="0"/>
              <w:autoSpaceDN w:val="0"/>
              <w:adjustRightInd w:val="0"/>
              <w:spacing w:after="120"/>
              <w:rPr>
                <w:color w:val="000000"/>
                <w:sz w:val="24"/>
                <w:rFonts w:ascii="Times New Roman" w:hAnsi="Times New Roman" w:cs="Times New Roman"/>
              </w:rPr>
            </w:pPr>
            <w:r>
              <w:rPr>
                <w:b/>
                <w:sz w:val="24"/>
                <w:rFonts w:ascii="Times New Roman" w:hAnsi="Times New Roman"/>
              </w:rPr>
              <w:t xml:space="preserve">Paskaidrojums</w:t>
            </w:r>
          </w:p>
        </w:tc>
      </w:tr>
      <w:tr w:rsidR="00087388" w:rsidRPr="00F1728C" w14:paraId="11662F61" w14:textId="77777777" w:rsidTr="00725D4D">
        <w:trPr>
          <w:trHeight w:val="741"/>
        </w:trPr>
        <w:tc>
          <w:tcPr>
            <w:tcW w:w="1413" w:type="dxa"/>
            <w:shd w:val="clear" w:color="auto" w:fill="auto"/>
          </w:tcPr>
          <w:p w14:paraId="649841BE" w14:textId="77777777" w:rsidR="00087388" w:rsidRPr="00F1728C" w:rsidRDefault="00087388" w:rsidP="00725D4D">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1.</w:t>
            </w:r>
          </w:p>
        </w:tc>
        <w:tc>
          <w:tcPr>
            <w:tcW w:w="7654" w:type="dxa"/>
            <w:shd w:val="clear" w:color="auto" w:fill="auto"/>
          </w:tcPr>
          <w:p w14:paraId="4B69D0F8" w14:textId="77777777" w:rsidR="00087388" w:rsidRPr="00F1728C" w:rsidRDefault="00087388" w:rsidP="00725D4D">
            <w:pPr>
              <w:autoSpaceDE w:val="0"/>
              <w:autoSpaceDN w:val="0"/>
              <w:adjustRightInd w:val="0"/>
              <w:spacing w:after="120"/>
              <w:jc w:val="both"/>
              <w:rPr>
                <w:b/>
                <w:sz w:val="24"/>
                <w:rFonts w:ascii="Times New Roman" w:eastAsia="Times New Roman" w:hAnsi="Times New Roman" w:cs="Times New Roman"/>
              </w:rPr>
            </w:pPr>
            <w:r>
              <w:rPr>
                <w:b/>
                <w:sz w:val="24"/>
                <w:rFonts w:ascii="Times New Roman" w:hAnsi="Times New Roman"/>
              </w:rPr>
              <w:t xml:space="preserve">Riska darījumu riska svērtā vērtība iepriekšējā informācijas atklāšanas perioda beigās</w:t>
            </w:r>
          </w:p>
        </w:tc>
      </w:tr>
      <w:tr w:rsidR="00087388" w:rsidRPr="00F1728C" w14:paraId="59797D53" w14:textId="77777777" w:rsidTr="00725D4D">
        <w:trPr>
          <w:trHeight w:val="316"/>
        </w:trPr>
        <w:tc>
          <w:tcPr>
            <w:tcW w:w="1413" w:type="dxa"/>
          </w:tcPr>
          <w:p w14:paraId="18F999B5" w14:textId="77777777" w:rsidR="00087388" w:rsidRPr="00F1728C" w:rsidRDefault="00087388" w:rsidP="00725D4D">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2.</w:t>
            </w:r>
          </w:p>
        </w:tc>
        <w:tc>
          <w:tcPr>
            <w:tcW w:w="7654" w:type="dxa"/>
          </w:tcPr>
          <w:p w14:paraId="60C0E4F2" w14:textId="77777777" w:rsidR="00087388" w:rsidRPr="00F1728C" w:rsidRDefault="00087388" w:rsidP="00725D4D">
            <w:pPr>
              <w:spacing w:after="120"/>
              <w:jc w:val="both"/>
              <w:rPr>
                <w:b/>
                <w:sz w:val="24"/>
                <w:rFonts w:ascii="Times New Roman" w:eastAsiaTheme="minorHAnsi" w:hAnsi="Times New Roman" w:cs="Times New Roman"/>
              </w:rPr>
            </w:pPr>
            <w:r>
              <w:rPr>
                <w:b/>
                <w:sz w:val="24"/>
                <w:rFonts w:ascii="Times New Roman" w:hAnsi="Times New Roman"/>
              </w:rPr>
              <w:t xml:space="preserve">Aktīvu apmērs (+/-)</w:t>
            </w:r>
          </w:p>
          <w:p w14:paraId="2A1C0F3D" w14:textId="0A978186" w:rsidR="00087388" w:rsidRPr="00F1728C" w:rsidRDefault="00087388" w:rsidP="00725D4D">
            <w:pPr>
              <w:spacing w:after="120"/>
              <w:jc w:val="both"/>
              <w:rPr>
                <w:sz w:val="24"/>
                <w:rFonts w:ascii="Times New Roman" w:eastAsiaTheme="minorHAnsi" w:hAnsi="Times New Roman" w:cs="Times New Roman"/>
              </w:rPr>
            </w:pPr>
            <w:r>
              <w:rPr>
                <w:sz w:val="24"/>
                <w:rFonts w:ascii="Times New Roman" w:hAnsi="Times New Roman"/>
              </w:rPr>
              <w:t xml:space="preserve">Riska darījumu riska svērtās vērtības izmaiņas laikposmā no iepriekšējā informācijas atklāšanas perioda beigām līdz pašreizējā informācijas atklāšanas perioda beigām, kuras izraisījis aktīvu apmērs, t. i., portfeļa apmēra un sastāva organiskas izmaiņas (tajā skaitā jaunu uzņēmumu rašanās un aizdevumi, kuriem tuvojas termiņš), bet izņemot portfeļa apmēra izmaiņas saistībā ar sabiedrību iegādi vai atsavināšanu.</w:t>
            </w:r>
          </w:p>
          <w:p w14:paraId="21CFBD20" w14:textId="77777777" w:rsidR="00087388" w:rsidRPr="00F1728C" w:rsidRDefault="00087388" w:rsidP="00725D4D">
            <w:pPr>
              <w:spacing w:after="120"/>
              <w:jc w:val="both"/>
              <w:rPr>
                <w:sz w:val="24"/>
                <w:rFonts w:ascii="Times New Roman" w:hAnsi="Times New Roman" w:cs="Times New Roman"/>
              </w:rPr>
            </w:pPr>
            <w:r>
              <w:rPr>
                <w:sz w:val="24"/>
                <w:rFonts w:ascii="Times New Roman" w:hAnsi="Times New Roman"/>
              </w:rPr>
              <w:t xml:space="preserve">Riska darījumu riska svērtās vērtības palielinājumus atklāj kā pozitīvu summu, un riska darījumu riska svērtās vērtības samazinājumus atklāj kā negatīvu summu.</w:t>
            </w:r>
          </w:p>
        </w:tc>
      </w:tr>
      <w:tr w:rsidR="00087388" w:rsidRPr="00F1728C" w14:paraId="563DB604" w14:textId="77777777" w:rsidTr="00725D4D">
        <w:trPr>
          <w:trHeight w:val="316"/>
        </w:trPr>
        <w:tc>
          <w:tcPr>
            <w:tcW w:w="1413" w:type="dxa"/>
          </w:tcPr>
          <w:p w14:paraId="5FCD5EC4" w14:textId="77777777" w:rsidR="00087388" w:rsidRPr="00F1728C" w:rsidRDefault="00087388" w:rsidP="00725D4D">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3.</w:t>
            </w:r>
          </w:p>
        </w:tc>
        <w:tc>
          <w:tcPr>
            <w:tcW w:w="7654" w:type="dxa"/>
          </w:tcPr>
          <w:p w14:paraId="7D0F2796" w14:textId="77777777" w:rsidR="00087388" w:rsidRPr="00F1728C" w:rsidRDefault="00087388" w:rsidP="00725D4D">
            <w:pPr>
              <w:autoSpaceDE w:val="0"/>
              <w:autoSpaceDN w:val="0"/>
              <w:adjustRightInd w:val="0"/>
              <w:spacing w:after="120"/>
              <w:jc w:val="both"/>
              <w:rPr>
                <w:b/>
                <w:sz w:val="24"/>
                <w:rFonts w:ascii="Times New Roman" w:eastAsiaTheme="minorHAnsi" w:hAnsi="Times New Roman" w:cs="Times New Roman"/>
              </w:rPr>
            </w:pPr>
            <w:r>
              <w:rPr>
                <w:b/>
                <w:sz w:val="24"/>
                <w:rFonts w:ascii="Times New Roman" w:hAnsi="Times New Roman"/>
              </w:rPr>
              <w:t xml:space="preserve">Aktīvu kvalitāte (+/-)</w:t>
            </w:r>
          </w:p>
          <w:p w14:paraId="43D5054C" w14:textId="5FA1EF8D" w:rsidR="00087388" w:rsidRPr="00F1728C" w:rsidRDefault="00087388" w:rsidP="00725D4D">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Riska darījumu riska svērtās vērtības izmaiņas laikposmā no iepriekšējā informācijas atklāšanas perioda beigām līdz pašreizējā informācijas atklāšanas perioda beigām, kuras izraisījusi aktīvu kvalitāte, t. i., iestādes aktīvu novērtētās kvalitātes izmaiņas saistībā ar aizņēmēja riska izmaiņām, piemēram, reitingu kategoriju migrāciju vai tamlīdzīgu ietekmi.</w:t>
            </w:r>
          </w:p>
          <w:p w14:paraId="28EE5ACA" w14:textId="77777777" w:rsidR="00087388" w:rsidRPr="00F1728C" w:rsidRDefault="00087388" w:rsidP="00725D4D">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Riska darījumu riska svērtās vērtības palielinājumus atklāj kā pozitīvu summu, un riska darījumu riska svērtās vērtības samazinājumus atklāj kā negatīvu summu.</w:t>
            </w:r>
          </w:p>
        </w:tc>
      </w:tr>
      <w:tr w:rsidR="00087388" w:rsidRPr="00F1728C" w14:paraId="246C06C0" w14:textId="77777777" w:rsidTr="00725D4D">
        <w:trPr>
          <w:trHeight w:val="316"/>
        </w:trPr>
        <w:tc>
          <w:tcPr>
            <w:tcW w:w="1413" w:type="dxa"/>
          </w:tcPr>
          <w:p w14:paraId="2598DEE6" w14:textId="77777777" w:rsidR="00087388" w:rsidRPr="00F1728C" w:rsidRDefault="00087388" w:rsidP="00725D4D">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4.</w:t>
            </w:r>
          </w:p>
        </w:tc>
        <w:tc>
          <w:tcPr>
            <w:tcW w:w="7654" w:type="dxa"/>
          </w:tcPr>
          <w:p w14:paraId="0F384F28" w14:textId="77777777" w:rsidR="00087388" w:rsidRPr="00F1728C" w:rsidRDefault="00087388" w:rsidP="00725D4D">
            <w:pPr>
              <w:autoSpaceDE w:val="0"/>
              <w:autoSpaceDN w:val="0"/>
              <w:adjustRightInd w:val="0"/>
              <w:spacing w:after="120"/>
              <w:jc w:val="both"/>
              <w:rPr>
                <w:b/>
                <w:sz w:val="24"/>
                <w:rFonts w:ascii="Times New Roman" w:eastAsiaTheme="minorHAnsi" w:hAnsi="Times New Roman" w:cs="Times New Roman"/>
              </w:rPr>
            </w:pPr>
            <w:r>
              <w:rPr>
                <w:b/>
                <w:sz w:val="24"/>
                <w:rFonts w:ascii="Times New Roman" w:hAnsi="Times New Roman"/>
              </w:rPr>
              <w:t xml:space="preserve">Modeļa atjauninājumi (+/-)</w:t>
            </w:r>
          </w:p>
          <w:p w14:paraId="0BE2CFF4" w14:textId="124C1D88" w:rsidR="00087388" w:rsidRPr="00F1728C" w:rsidRDefault="00087388" w:rsidP="00725D4D">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Riska darījumu riska svērtās vērtības izmaiņas laikposmā no iepriekšējā informācijas atklāšanas perioda beigām līdz pašreizējā informācijas atklāšanas perioda beigām, kuras izraisījuši modeļu atjauninājumi, t. i., izmaiņas saistībā ar jaunu modeļu ieviešanu, modeļu izmaiņas, modeļu tvēruma izmaiņas vai jebkuras citas izmaiņas, kas paredzētas, lai novērstu modeļu trūkumus.</w:t>
            </w:r>
          </w:p>
          <w:p w14:paraId="13E221C1" w14:textId="77777777" w:rsidR="00087388" w:rsidRPr="00F1728C" w:rsidRDefault="00087388" w:rsidP="00725D4D">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Riska darījumu riska svērtās vērtības palielinājumus atklāj kā pozitīvu summu, un riska darījumu riska svērtās vērtības samazinājumus atklāj kā negatīvu summu.</w:t>
            </w:r>
          </w:p>
        </w:tc>
      </w:tr>
      <w:tr w:rsidR="00087388" w:rsidRPr="00F1728C" w14:paraId="24D67283" w14:textId="77777777" w:rsidTr="00725D4D">
        <w:trPr>
          <w:trHeight w:val="316"/>
        </w:trPr>
        <w:tc>
          <w:tcPr>
            <w:tcW w:w="1413" w:type="dxa"/>
          </w:tcPr>
          <w:p w14:paraId="44240AAE" w14:textId="77777777" w:rsidR="00087388" w:rsidRPr="00F1728C" w:rsidRDefault="00087388" w:rsidP="00725D4D">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5.</w:t>
            </w:r>
          </w:p>
        </w:tc>
        <w:tc>
          <w:tcPr>
            <w:tcW w:w="7654" w:type="dxa"/>
          </w:tcPr>
          <w:p w14:paraId="150AE3DE" w14:textId="77777777" w:rsidR="00087388" w:rsidRPr="00F1728C" w:rsidRDefault="00087388" w:rsidP="00725D4D">
            <w:pPr>
              <w:autoSpaceDE w:val="0"/>
              <w:autoSpaceDN w:val="0"/>
              <w:adjustRightInd w:val="0"/>
              <w:spacing w:after="120"/>
              <w:jc w:val="both"/>
              <w:rPr>
                <w:b/>
                <w:sz w:val="24"/>
                <w:rFonts w:ascii="Times New Roman" w:eastAsiaTheme="minorHAnsi" w:hAnsi="Times New Roman" w:cs="Times New Roman"/>
              </w:rPr>
            </w:pPr>
            <w:r>
              <w:rPr>
                <w:b/>
                <w:sz w:val="24"/>
                <w:rFonts w:ascii="Times New Roman" w:hAnsi="Times New Roman"/>
              </w:rPr>
              <w:t xml:space="preserve">Metodika un politika (+/-)</w:t>
            </w:r>
          </w:p>
          <w:p w14:paraId="2B9722BD" w14:textId="5686BD98" w:rsidR="00087388" w:rsidRPr="00F1728C" w:rsidRDefault="00087388" w:rsidP="00725D4D">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Riska darījumu riska svērtās vērtības izmaiņas laikposmā no iepriekšējā informācijas atklāšanas perioda beigām līdz pašreizējā informācijas atklāšanas perioda beigām, kuras izraisījusi metodika un politika, t. i., izmaiņas saistībā ar metodikas izmaiņām aprēķinos, ko izraisījušas regulatīvās politikas izmaiņas, – gan spēkā esošo regulējumu pārskatīšana, gan jauni regulējumi, izņemot izmaiņas modeļos, ko iekļauj šīs veidnes 4. rindā.</w:t>
            </w:r>
          </w:p>
          <w:p w14:paraId="559030D9" w14:textId="77777777" w:rsidR="00087388" w:rsidRPr="00F1728C" w:rsidRDefault="00087388" w:rsidP="00725D4D">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Riska darījumu riska svērtās vērtības palielinājumus atklāj kā pozitīvu summu, un riska darījumu riska svērtās vērtības samazinājumus atklāj kā negatīvu summu.</w:t>
            </w:r>
          </w:p>
        </w:tc>
      </w:tr>
      <w:tr w:rsidR="00087388" w:rsidRPr="00F1728C" w14:paraId="51E21477" w14:textId="77777777" w:rsidTr="00725D4D">
        <w:trPr>
          <w:trHeight w:val="316"/>
        </w:trPr>
        <w:tc>
          <w:tcPr>
            <w:tcW w:w="1413" w:type="dxa"/>
          </w:tcPr>
          <w:p w14:paraId="29B4EA11" w14:textId="77777777" w:rsidR="00087388" w:rsidRPr="00F1728C" w:rsidRDefault="00087388" w:rsidP="00725D4D">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6.</w:t>
            </w:r>
          </w:p>
        </w:tc>
        <w:tc>
          <w:tcPr>
            <w:tcW w:w="7654" w:type="dxa"/>
          </w:tcPr>
          <w:p w14:paraId="3E99C6D0" w14:textId="77777777" w:rsidR="00087388" w:rsidRPr="00F1728C" w:rsidRDefault="00087388" w:rsidP="00725D4D">
            <w:pPr>
              <w:autoSpaceDE w:val="0"/>
              <w:autoSpaceDN w:val="0"/>
              <w:adjustRightInd w:val="0"/>
              <w:spacing w:after="120"/>
              <w:jc w:val="both"/>
              <w:rPr>
                <w:b/>
                <w:sz w:val="24"/>
                <w:rFonts w:ascii="Times New Roman" w:eastAsiaTheme="minorHAnsi" w:hAnsi="Times New Roman" w:cs="Times New Roman"/>
              </w:rPr>
            </w:pPr>
            <w:r>
              <w:rPr>
                <w:b/>
                <w:sz w:val="24"/>
                <w:rFonts w:ascii="Times New Roman" w:hAnsi="Times New Roman"/>
              </w:rPr>
              <w:t xml:space="preserve">Iegāde un atsavināšana (+/-)</w:t>
            </w:r>
          </w:p>
          <w:p w14:paraId="0B857E34" w14:textId="5C56D004" w:rsidR="00087388" w:rsidRPr="00F1728C" w:rsidRDefault="00087388" w:rsidP="00725D4D">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Riska darījumu riska svērtās vērtības izmaiņas laikposmā no iepriekšējā informācijas atklāšanas perioda beigām līdz pašreizējā informācijas atklāšanas perioda beigām, kuras izraisījusi iegāde un atsavināšana, t. i., portfeļa apmēra izmaiņas iegādes un/vai atsavināšanas dēļ.</w:t>
            </w:r>
          </w:p>
          <w:p w14:paraId="660182EF" w14:textId="77777777" w:rsidR="00087388" w:rsidRPr="00F1728C" w:rsidRDefault="00087388" w:rsidP="00725D4D">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Riska darījumu riska svērtās vērtības palielinājumus atklāj kā pozitīvu summu, un riska darījumu riska svērtās vērtības samazinājumus atklāj kā negatīvu summu.</w:t>
            </w:r>
          </w:p>
        </w:tc>
      </w:tr>
      <w:tr w:rsidR="00087388" w:rsidRPr="00F1728C" w14:paraId="6913EE24" w14:textId="77777777" w:rsidTr="00725D4D">
        <w:trPr>
          <w:trHeight w:val="316"/>
        </w:trPr>
        <w:tc>
          <w:tcPr>
            <w:tcW w:w="1413" w:type="dxa"/>
          </w:tcPr>
          <w:p w14:paraId="75697EEC" w14:textId="77777777" w:rsidR="00087388" w:rsidRPr="00F1728C" w:rsidRDefault="00087388" w:rsidP="00725D4D">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7.</w:t>
            </w:r>
          </w:p>
        </w:tc>
        <w:tc>
          <w:tcPr>
            <w:tcW w:w="7654" w:type="dxa"/>
          </w:tcPr>
          <w:p w14:paraId="5714E8D3" w14:textId="77777777" w:rsidR="00087388" w:rsidRPr="00F1728C" w:rsidRDefault="00087388" w:rsidP="00725D4D">
            <w:pPr>
              <w:autoSpaceDE w:val="0"/>
              <w:autoSpaceDN w:val="0"/>
              <w:adjustRightInd w:val="0"/>
              <w:spacing w:after="120"/>
              <w:jc w:val="both"/>
              <w:rPr>
                <w:b/>
                <w:sz w:val="24"/>
                <w:rFonts w:ascii="Times New Roman" w:eastAsiaTheme="minorHAnsi" w:hAnsi="Times New Roman" w:cs="Times New Roman"/>
              </w:rPr>
            </w:pPr>
            <w:r>
              <w:rPr>
                <w:b/>
                <w:sz w:val="24"/>
                <w:rFonts w:ascii="Times New Roman" w:hAnsi="Times New Roman"/>
              </w:rPr>
              <w:t xml:space="preserve">Ārvalstu valūtas kursa svārstības (+/-)</w:t>
            </w:r>
          </w:p>
          <w:p w14:paraId="67D51F33" w14:textId="75113496" w:rsidR="00087388" w:rsidRPr="00F1728C" w:rsidRDefault="00087388" w:rsidP="00725D4D">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Riska darījumu riska svērtās vērtības izmaiņas laikposmā no iepriekšējā informācijas atklāšanas perioda beigām līdz pašreizējā informācijas atklāšanas perioda beigām, kuras izraisījušas ārvalstu valūtas kursa svārstības, t. i., izmaiņas, kas izriet no pārrēķiniem ārvalstu valūtā.</w:t>
            </w:r>
          </w:p>
          <w:p w14:paraId="5F610B2C" w14:textId="77777777" w:rsidR="00087388" w:rsidRPr="00F1728C" w:rsidRDefault="00087388" w:rsidP="00725D4D">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Riska darījumu riska svērtās vērtības palielinājumus atklāj kā pozitīvu summu, un riska darījumu riska svērtās vērtības samazinājumus atklāj kā negatīvu summu.</w:t>
            </w:r>
          </w:p>
        </w:tc>
      </w:tr>
      <w:tr w:rsidR="00087388" w:rsidRPr="00F1728C" w14:paraId="5FF1230F" w14:textId="77777777" w:rsidTr="00725D4D">
        <w:trPr>
          <w:trHeight w:val="316"/>
        </w:trPr>
        <w:tc>
          <w:tcPr>
            <w:tcW w:w="1413" w:type="dxa"/>
          </w:tcPr>
          <w:p w14:paraId="44B0A208" w14:textId="77777777" w:rsidR="00087388" w:rsidRPr="00F1728C" w:rsidRDefault="00087388" w:rsidP="00725D4D">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8.</w:t>
            </w:r>
          </w:p>
        </w:tc>
        <w:tc>
          <w:tcPr>
            <w:tcW w:w="7654" w:type="dxa"/>
          </w:tcPr>
          <w:p w14:paraId="10E83E94" w14:textId="77777777" w:rsidR="00087388" w:rsidRPr="00F1728C" w:rsidRDefault="00087388" w:rsidP="00725D4D">
            <w:pPr>
              <w:autoSpaceDE w:val="0"/>
              <w:autoSpaceDN w:val="0"/>
              <w:adjustRightInd w:val="0"/>
              <w:spacing w:after="120"/>
              <w:jc w:val="both"/>
              <w:rPr>
                <w:b/>
                <w:sz w:val="24"/>
                <w:rFonts w:ascii="Times New Roman" w:eastAsiaTheme="minorHAnsi" w:hAnsi="Times New Roman" w:cs="Times New Roman"/>
              </w:rPr>
            </w:pPr>
            <w:r>
              <w:rPr>
                <w:b/>
                <w:sz w:val="24"/>
                <w:rFonts w:ascii="Times New Roman" w:hAnsi="Times New Roman"/>
              </w:rPr>
              <w:t xml:space="preserve">Cits (+/-)</w:t>
            </w:r>
          </w:p>
          <w:p w14:paraId="5C061979" w14:textId="5E9D30DB" w:rsidR="00087388" w:rsidRPr="00F1728C" w:rsidRDefault="00087388" w:rsidP="00725D4D">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Riska darījumu riska svērtās vērtības izmaiņas laikposmā no iepriekšējā informācijas atklāšanas perioda beigām līdz pašreizējā informācijas atklāšanas perioda beigām, kuras izraisījuši citi veicinātājfaktori.</w:t>
            </w:r>
          </w:p>
          <w:p w14:paraId="34BDA16D" w14:textId="77777777" w:rsidR="00087388" w:rsidRPr="00F1728C" w:rsidRDefault="00087388" w:rsidP="00725D4D">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Šo kategoriju izmanto, lai atspoguļotu izmaiņas, ko nevar iedalīt nevienā citā kategorijā.</w:t>
            </w:r>
            <w:r>
              <w:rPr>
                <w:sz w:val="24"/>
                <w:rFonts w:ascii="Times New Roman" w:hAnsi="Times New Roman"/>
              </w:rPr>
              <w:t xml:space="preserve"> </w:t>
            </w:r>
            <w:r>
              <w:rPr>
                <w:sz w:val="24"/>
                <w:rFonts w:ascii="Times New Roman" w:hAnsi="Times New Roman"/>
              </w:rPr>
              <w:t xml:space="preserve">Iestādes plašāk raksturo jebkurus citus būtiskus riska svērto izmaiņu veicinātājfaktorus informācijas atklāšanas periodā, kurus iekļauj šajā rindā izklāstā, kas pievienots šai veidnei.</w:t>
            </w:r>
          </w:p>
          <w:p w14:paraId="745C38A5" w14:textId="77777777" w:rsidR="00087388" w:rsidRPr="00F1728C" w:rsidRDefault="00087388" w:rsidP="00725D4D">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Riska darījumu riska svērtās vērtības palielinājumus atklāj kā pozitīvu summu, un riska darījumu riska svērtās vērtības samazinājumus atklāj kā negatīvu summu.</w:t>
            </w:r>
          </w:p>
        </w:tc>
      </w:tr>
      <w:tr w:rsidR="00087388" w:rsidRPr="00F1728C" w14:paraId="11D0A84D" w14:textId="77777777" w:rsidTr="00725D4D">
        <w:trPr>
          <w:trHeight w:val="316"/>
        </w:trPr>
        <w:tc>
          <w:tcPr>
            <w:tcW w:w="1413" w:type="dxa"/>
          </w:tcPr>
          <w:p w14:paraId="089009E4" w14:textId="77777777" w:rsidR="00087388" w:rsidRPr="00F1728C" w:rsidRDefault="00087388" w:rsidP="00725D4D">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9.</w:t>
            </w:r>
          </w:p>
        </w:tc>
        <w:tc>
          <w:tcPr>
            <w:tcW w:w="7654" w:type="dxa"/>
          </w:tcPr>
          <w:p w14:paraId="119A2FF3" w14:textId="77777777" w:rsidR="00087388" w:rsidRPr="00F1728C" w:rsidRDefault="00087388" w:rsidP="00725D4D">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Riska darījumu riska svērtā vērtība informācijas atklāšanas perioda beigās</w:t>
            </w:r>
          </w:p>
        </w:tc>
      </w:tr>
    </w:tbl>
    <w:p w14:paraId="3FE9F23F" w14:textId="77777777" w:rsidR="00087388" w:rsidRPr="00F1728C" w:rsidRDefault="00087388" w:rsidP="00087388">
      <w:pPr>
        <w:spacing w:after="120"/>
        <w:rPr>
          <w:rFonts w:ascii="Times New Roman" w:hAnsi="Times New Roman" w:cs="Times New Roman"/>
          <w:sz w:val="24"/>
        </w:rPr>
      </w:pPr>
    </w:p>
    <w:p w14:paraId="7B31A0E0" w14:textId="77777777" w:rsidR="00087388" w:rsidRPr="00F1728C" w:rsidRDefault="00087388" w:rsidP="00087388">
      <w:pPr>
        <w:spacing w:after="120"/>
        <w:rPr>
          <w:sz w:val="24"/>
          <w:rFonts w:ascii="Times New Roman" w:hAnsi="Times New Roman" w:cs="Times New Roman"/>
        </w:rPr>
      </w:pPr>
      <w:r>
        <w:rPr>
          <w:b/>
          <w:sz w:val="24"/>
          <w:rFonts w:ascii="Times New Roman" w:hAnsi="Times New Roman"/>
        </w:rPr>
        <w:t xml:space="preserve">Veidne EU CR9</w:t>
      </w:r>
      <w:r>
        <w:rPr>
          <w:b/>
          <w:sz w:val="24"/>
          <w:rFonts w:ascii="Times New Roman" w:hAnsi="Times New Roman"/>
        </w:rPr>
        <w:t xml:space="preserve"> </w:t>
      </w:r>
      <w:r>
        <w:rPr>
          <w:b/>
          <w:sz w:val="24"/>
          <w:rFonts w:ascii="Times New Roman" w:hAnsi="Times New Roman"/>
        </w:rPr>
        <w:tab/>
      </w:r>
      <w:r>
        <w:rPr>
          <w:b/>
          <w:sz w:val="24"/>
          <w:rFonts w:ascii="Times New Roman" w:hAnsi="Times New Roman"/>
        </w:rPr>
        <w:t xml:space="preserve"> </w:t>
      </w:r>
      <w:r>
        <w:rPr>
          <w:b/>
          <w:sz w:val="24"/>
          <w:rFonts w:ascii="Times New Roman" w:hAnsi="Times New Roman"/>
        </w:rPr>
        <w:t xml:space="preserve">– </w:t>
      </w:r>
      <w:r>
        <w:rPr>
          <w:b/>
          <w:sz w:val="24"/>
          <w:i/>
          <w:rFonts w:ascii="Times New Roman" w:hAnsi="Times New Roman"/>
        </w:rPr>
        <w:t xml:space="preserve">IRB</w:t>
      </w:r>
      <w:r>
        <w:rPr>
          <w:b/>
          <w:sz w:val="24"/>
          <w:rFonts w:ascii="Times New Roman" w:hAnsi="Times New Roman"/>
        </w:rPr>
        <w:t xml:space="preserve"> pieeja – </w:t>
      </w:r>
      <w:r>
        <w:rPr>
          <w:b/>
          <w:sz w:val="24"/>
          <w:i/>
          <w:rFonts w:ascii="Times New Roman" w:hAnsi="Times New Roman"/>
        </w:rPr>
        <w:t xml:space="preserve">PD</w:t>
      </w:r>
      <w:r>
        <w:rPr>
          <w:b/>
          <w:sz w:val="24"/>
          <w:rFonts w:ascii="Times New Roman" w:hAnsi="Times New Roman"/>
        </w:rPr>
        <w:t xml:space="preserve"> atpakaļejošā pārbaude par katru riska darījumu kategoriju.</w:t>
      </w:r>
      <w:r>
        <w:rPr>
          <w:b/>
          <w:sz w:val="24"/>
          <w:rFonts w:ascii="Times New Roman" w:hAnsi="Times New Roman"/>
        </w:rPr>
        <w:t xml:space="preserve"> </w:t>
      </w:r>
      <w:r>
        <w:rPr>
          <w:b/>
          <w:sz w:val="24"/>
          <w:rFonts w:ascii="Times New Roman" w:hAnsi="Times New Roman"/>
        </w:rPr>
        <w:t xml:space="preserve">Fiksēta veidne.</w:t>
      </w:r>
    </w:p>
    <w:p w14:paraId="2ACD97A2" w14:textId="0561FA92" w:rsidR="00087388" w:rsidRPr="00F1728C" w:rsidRDefault="00087388" w:rsidP="11F50173">
      <w:pPr>
        <w:pStyle w:val="ListParagraph"/>
        <w:numPr>
          <w:ilvl w:val="0"/>
          <w:numId w:val="7"/>
        </w:numPr>
        <w:spacing w:after="120"/>
        <w:ind w:left="714" w:hanging="357"/>
        <w:jc w:val="both"/>
        <w:rPr>
          <w:sz w:val="24"/>
          <w:szCs w:val="24"/>
          <w:rFonts w:ascii="Times New Roman" w:hAnsi="Times New Roman"/>
        </w:rPr>
      </w:pPr>
      <w:r>
        <w:rPr>
          <w:sz w:val="24"/>
          <w:rFonts w:ascii="Times New Roman" w:hAnsi="Times New Roman"/>
        </w:rPr>
        <w:t xml:space="preserve">Iestādes atklāj Regulas (ES) Nr. 575/2013 452. panta h) punktā minēto informāciju, ievērojot turpmāk šajā pielikumā sniegtos norādījumus, lai aizpildītu EBI IT risinājumu XXI pielikumā ietverto veidni EU CR9.</w:t>
      </w:r>
      <w:r>
        <w:rPr>
          <w:sz w:val="24"/>
          <w:rFonts w:ascii="Times New Roman" w:hAnsi="Times New Roman"/>
        </w:rPr>
        <w:t xml:space="preserve"> </w:t>
      </w:r>
      <w:r>
        <w:rPr>
          <w:sz w:val="24"/>
          <w:rFonts w:ascii="Times New Roman" w:hAnsi="Times New Roman"/>
        </w:rPr>
        <w:t xml:space="preserve">Ja iestāde izmanto gan </w:t>
      </w:r>
      <w:r>
        <w:rPr>
          <w:sz w:val="24"/>
          <w:i/>
          <w:rFonts w:ascii="Times New Roman" w:hAnsi="Times New Roman"/>
        </w:rPr>
        <w:t xml:space="preserve">F-IRB</w:t>
      </w:r>
      <w:r>
        <w:rPr>
          <w:sz w:val="24"/>
          <w:rFonts w:ascii="Times New Roman" w:hAnsi="Times New Roman"/>
        </w:rPr>
        <w:t xml:space="preserve"> pieeju, gan </w:t>
      </w:r>
      <w:r>
        <w:rPr>
          <w:sz w:val="24"/>
          <w:i/>
          <w:rFonts w:ascii="Times New Roman" w:hAnsi="Times New Roman"/>
        </w:rPr>
        <w:t xml:space="preserve">A-IRB</w:t>
      </w:r>
      <w:r>
        <w:rPr>
          <w:sz w:val="24"/>
          <w:rFonts w:ascii="Times New Roman" w:hAnsi="Times New Roman"/>
        </w:rPr>
        <w:t xml:space="preserve"> pieeju, tā atklāj informāciju divos atsevišķos veidņu kopumos – viens par </w:t>
      </w:r>
      <w:r>
        <w:rPr>
          <w:sz w:val="24"/>
          <w:i/>
          <w:rFonts w:ascii="Times New Roman" w:hAnsi="Times New Roman"/>
        </w:rPr>
        <w:t xml:space="preserve">F-IRB</w:t>
      </w:r>
      <w:r>
        <w:rPr>
          <w:sz w:val="24"/>
          <w:rFonts w:ascii="Times New Roman" w:hAnsi="Times New Roman"/>
        </w:rPr>
        <w:t xml:space="preserve">, un viens par </w:t>
      </w:r>
      <w:r>
        <w:rPr>
          <w:sz w:val="24"/>
          <w:i/>
          <w:rFonts w:ascii="Times New Roman" w:hAnsi="Times New Roman"/>
        </w:rPr>
        <w:t xml:space="preserve">A-IRB</w:t>
      </w:r>
      <w:r>
        <w:rPr>
          <w:sz w:val="24"/>
          <w:rFonts w:ascii="Times New Roman" w:hAnsi="Times New Roman"/>
        </w:rPr>
        <w:t xml:space="preserve"> – ar vienu veidni katrai riska darījumu kategorijai katrā kopumā.</w:t>
      </w:r>
      <w:r>
        <w:rPr>
          <w:sz w:val="24"/>
          <w:rFonts w:ascii="Times New Roman" w:hAnsi="Times New Roman"/>
        </w:rPr>
        <w:t xml:space="preserve"> </w:t>
      </w:r>
    </w:p>
    <w:p w14:paraId="5F352546" w14:textId="77777777" w:rsidR="00087388" w:rsidRPr="00F1728C" w:rsidRDefault="00087388" w:rsidP="003B7D6C">
      <w:pPr>
        <w:pStyle w:val="ListParagraph"/>
        <w:numPr>
          <w:ilvl w:val="0"/>
          <w:numId w:val="7"/>
        </w:numPr>
        <w:spacing w:after="120"/>
        <w:ind w:left="714" w:hanging="357"/>
        <w:jc w:val="both"/>
        <w:rPr>
          <w:sz w:val="24"/>
          <w:rFonts w:ascii="Times New Roman" w:hAnsi="Times New Roman"/>
        </w:rPr>
      </w:pPr>
      <w:r>
        <w:rPr>
          <w:sz w:val="24"/>
          <w:rFonts w:ascii="Times New Roman" w:hAnsi="Times New Roman"/>
        </w:rPr>
        <w:t xml:space="preserve">Iestādes ņem vērā modeļus, kas izmantoti katrā riska darījumu kategorijā, un tās paskaidro to riska darījumu riska svērtās vērtības procentuālo daļu attiecīgajā riska darījumu kategorijā, ko sedz modeļi, par kuriem šeit tiek atklāti atpakaļejošās pārbaudes rezultāti.</w:t>
      </w:r>
    </w:p>
    <w:p w14:paraId="2E6B6B1C" w14:textId="77777777" w:rsidR="00087388" w:rsidRPr="00F1728C" w:rsidRDefault="00087388" w:rsidP="003B7D6C">
      <w:pPr>
        <w:pStyle w:val="ListParagraph"/>
        <w:numPr>
          <w:ilvl w:val="0"/>
          <w:numId w:val="7"/>
        </w:numPr>
        <w:spacing w:after="120"/>
        <w:ind w:left="714" w:hanging="357"/>
        <w:jc w:val="both"/>
        <w:rPr>
          <w:sz w:val="24"/>
          <w:rFonts w:ascii="Times New Roman" w:hAnsi="Times New Roman"/>
        </w:rPr>
      </w:pPr>
      <w:r>
        <w:rPr>
          <w:sz w:val="24"/>
          <w:rFonts w:ascii="Times New Roman" w:hAnsi="Times New Roman"/>
        </w:rPr>
        <w:t xml:space="preserve">Iestādes pievienotajā izklāstā paskaidro to parādnieku kopējo skaitu, ar kuriem ir noslēgti īstermiņa līgumi informācijas atklāšanas datumā, norādot, kurām riska darījumu kategorijām ir lielāks īstermiņa līgumus noslēgušo parādnieku skaits.</w:t>
      </w:r>
      <w:r>
        <w:rPr>
          <w:sz w:val="24"/>
          <w:rFonts w:ascii="Times New Roman" w:hAnsi="Times New Roman"/>
        </w:rPr>
        <w:t xml:space="preserve"> </w:t>
      </w:r>
      <w:r>
        <w:rPr>
          <w:sz w:val="24"/>
          <w:rFonts w:ascii="Times New Roman" w:hAnsi="Times New Roman"/>
        </w:rPr>
        <w:t xml:space="preserve">Īstermiņa līgumi ir līgumi, kuriem atlikušais termiņš ir īsāks par 12 mēnešiem.</w:t>
      </w:r>
      <w:r>
        <w:rPr>
          <w:sz w:val="24"/>
          <w:rFonts w:ascii="Times New Roman" w:hAnsi="Times New Roman"/>
        </w:rPr>
        <w:t xml:space="preserve"> </w:t>
      </w:r>
      <w:r>
        <w:rPr>
          <w:sz w:val="24"/>
          <w:rFonts w:ascii="Times New Roman" w:hAnsi="Times New Roman"/>
        </w:rPr>
        <w:t xml:space="preserve">Iestādes arī paskaidro, vai ilga laikposma vidējo </w:t>
      </w:r>
      <w:r>
        <w:rPr>
          <w:sz w:val="24"/>
          <w:i/>
          <w:rFonts w:ascii="Times New Roman" w:hAnsi="Times New Roman"/>
        </w:rPr>
        <w:t xml:space="preserve">PD</w:t>
      </w:r>
      <w:r>
        <w:rPr>
          <w:sz w:val="24"/>
          <w:rFonts w:ascii="Times New Roman" w:hAnsi="Times New Roman"/>
        </w:rPr>
        <w:t xml:space="preserve"> rādītāju aprēķinā ir intervāli, kas pārklājas.</w:t>
      </w:r>
    </w:p>
    <w:p w14:paraId="244DFC0D" w14:textId="4C96D846" w:rsidR="00087388" w:rsidRPr="00F1728C" w:rsidRDefault="00087388" w:rsidP="63E31B68">
      <w:pPr>
        <w:pStyle w:val="ListParagraph"/>
        <w:numPr>
          <w:ilvl w:val="0"/>
          <w:numId w:val="7"/>
        </w:numPr>
        <w:spacing w:after="120"/>
        <w:jc w:val="both"/>
        <w:rPr>
          <w:sz w:val="24"/>
          <w:szCs w:val="24"/>
          <w:rFonts w:ascii="Times New Roman" w:hAnsi="Times New Roman"/>
        </w:rPr>
      </w:pPr>
      <w:r>
        <w:rPr>
          <w:sz w:val="24"/>
          <w:rFonts w:ascii="Times New Roman" w:hAnsi="Times New Roman"/>
        </w:rPr>
        <w:t xml:space="preserve">Šajā veidnē neiekļauj darījuma partnera kredītriska (</w:t>
      </w:r>
      <w:r>
        <w:rPr>
          <w:sz w:val="24"/>
          <w:i/>
          <w:rFonts w:ascii="Times New Roman" w:hAnsi="Times New Roman"/>
        </w:rPr>
        <w:t xml:space="preserve">CCR</w:t>
      </w:r>
      <w:r>
        <w:rPr>
          <w:sz w:val="24"/>
          <w:rFonts w:ascii="Times New Roman" w:hAnsi="Times New Roman"/>
        </w:rPr>
        <w:t xml:space="preserve">) riska darījumus (Regulas (ES) Nr. 575/2013 trešās daļas II sadaļas 6. nodaļa), vērtspapīrošanas pozīcijas, citus aktīvus, kas nav kredītsaistības, un kapitāla vērtspapīru riska darījumus.</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36AEAFE1" w14:textId="77777777" w:rsidTr="11F50173">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7580DC00" w14:textId="77777777" w:rsidR="00087388" w:rsidRPr="00F1728C" w:rsidRDefault="00087388" w:rsidP="00725D4D">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Atsauce uz aili</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DD63D9" w14:textId="77777777" w:rsidR="00087388" w:rsidRPr="00F1728C" w:rsidRDefault="00087388" w:rsidP="00725D4D">
            <w:pPr>
              <w:spacing w:after="120"/>
              <w:rPr>
                <w:b/>
                <w:sz w:val="24"/>
                <w:rFonts w:ascii="Times New Roman" w:hAnsi="Times New Roman" w:cs="Times New Roman"/>
              </w:rPr>
            </w:pPr>
            <w:r>
              <w:rPr>
                <w:b/>
                <w:sz w:val="24"/>
                <w:rFonts w:ascii="Times New Roman" w:hAnsi="Times New Roman"/>
              </w:rPr>
              <w:t xml:space="preserve">Atsauces uz tiesību aktiem un norādījumi</w:t>
            </w:r>
          </w:p>
        </w:tc>
      </w:tr>
      <w:tr w:rsidR="00087388" w:rsidRPr="00F1728C" w14:paraId="3B7C1677" w14:textId="77777777" w:rsidTr="11F50173">
        <w:trPr>
          <w:trHeight w:val="351"/>
        </w:trPr>
        <w:tc>
          <w:tcPr>
            <w:tcW w:w="1413" w:type="dxa"/>
            <w:vMerge/>
          </w:tcPr>
          <w:p w14:paraId="1F72F646"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58922914" w14:textId="77777777" w:rsidR="00087388" w:rsidRPr="00F1728C" w:rsidRDefault="00087388" w:rsidP="00725D4D">
            <w:pPr>
              <w:autoSpaceDE w:val="0"/>
              <w:autoSpaceDN w:val="0"/>
              <w:adjustRightInd w:val="0"/>
              <w:spacing w:after="120"/>
              <w:rPr>
                <w:color w:val="000000"/>
                <w:sz w:val="24"/>
                <w:rFonts w:ascii="Times New Roman" w:hAnsi="Times New Roman" w:cs="Times New Roman"/>
              </w:rPr>
            </w:pPr>
            <w:r>
              <w:rPr>
                <w:b/>
                <w:sz w:val="24"/>
                <w:rFonts w:ascii="Times New Roman" w:hAnsi="Times New Roman"/>
              </w:rPr>
              <w:t xml:space="preserve">Paskaidrojums</w:t>
            </w:r>
          </w:p>
        </w:tc>
      </w:tr>
      <w:tr w:rsidR="00087388" w:rsidRPr="00F1728C" w14:paraId="2516DD80" w14:textId="77777777" w:rsidTr="11F50173">
        <w:trPr>
          <w:trHeight w:val="841"/>
        </w:trPr>
        <w:tc>
          <w:tcPr>
            <w:tcW w:w="1413" w:type="dxa"/>
          </w:tcPr>
          <w:p w14:paraId="2C96E729" w14:textId="77777777" w:rsidR="00087388" w:rsidRPr="000A6489" w:rsidRDefault="00087388" w:rsidP="00725D4D">
            <w:pPr>
              <w:pStyle w:val="Applicationdirecte"/>
              <w:spacing w:before="0"/>
            </w:pPr>
            <w:r>
              <w:t xml:space="preserve">a (</w:t>
            </w:r>
            <w:r>
              <w:rPr>
                <w:i/>
              </w:rPr>
              <w:t xml:space="preserve">A-IRB</w:t>
            </w:r>
            <w:r>
              <w:t xml:space="preserve">)</w:t>
            </w:r>
          </w:p>
        </w:tc>
        <w:tc>
          <w:tcPr>
            <w:tcW w:w="7626" w:type="dxa"/>
          </w:tcPr>
          <w:p w14:paraId="24AC189A" w14:textId="77777777" w:rsidR="00087388" w:rsidRPr="00F1728C" w:rsidRDefault="00087388" w:rsidP="00725D4D">
            <w:pPr>
              <w:spacing w:after="120"/>
              <w:jc w:val="both"/>
              <w:rPr>
                <w:b/>
                <w:sz w:val="24"/>
                <w:rFonts w:ascii="Times New Roman" w:hAnsi="Times New Roman" w:cs="Times New Roman"/>
              </w:rPr>
            </w:pPr>
            <w:r>
              <w:rPr>
                <w:b/>
                <w:sz w:val="24"/>
                <w:rFonts w:ascii="Times New Roman" w:hAnsi="Times New Roman"/>
              </w:rPr>
              <w:t xml:space="preserve">Riska darījumu kategorijas</w:t>
            </w:r>
          </w:p>
          <w:p w14:paraId="08CE6F91" w14:textId="43839CE4" w:rsidR="00CB5E48" w:rsidRPr="00F1728C" w:rsidRDefault="00087388" w:rsidP="000A6489">
            <w:pPr>
              <w:spacing w:after="120"/>
            </w:pPr>
            <w:r>
              <w:rPr>
                <w:sz w:val="24"/>
                <w:rFonts w:ascii="Times New Roman" w:hAnsi="Times New Roman"/>
              </w:rPr>
              <w:t xml:space="preserve">Par katru riska darījumu kategoriju, kas uzskaitīta Regulas (ES) Nr. 575/2013 147. panta 2. punktā, iestādes atklāj informāciju atsevišķā veidnē ar sīkāku sadalījumu šādām riska darījumu kategorijām:</w:t>
            </w:r>
            <w:r>
              <w:rPr>
                <w:sz w:val="24"/>
                <w:rFonts w:ascii="Times New Roman" w:hAnsi="Times New Roman"/>
              </w:rPr>
              <w:t xml:space="preserve"> </w:t>
            </w:r>
          </w:p>
          <w:p w14:paraId="20D6AF46" w14:textId="77777777" w:rsidR="00CB5E48" w:rsidRPr="00F1728C" w:rsidRDefault="00CB5E48" w:rsidP="00CB5E48">
            <w:pPr>
              <w:spacing w:after="120"/>
              <w:jc w:val="both"/>
              <w:rPr>
                <w:sz w:val="24"/>
                <w:rFonts w:ascii="Times New Roman" w:hAnsi="Times New Roman" w:cs="Times New Roman"/>
              </w:rPr>
            </w:pPr>
            <w:r>
              <w:rPr>
                <w:sz w:val="24"/>
                <w:rFonts w:ascii="Times New Roman" w:hAnsi="Times New Roman"/>
              </w:rPr>
              <w:t xml:space="preserve">— riska darījumu kategorijā “riska darījumi ar komercsabiedrībām” – sadalījums saskaņā ar Regulas (ES) Nr. 575/2013 147. panta 2. punkta c) apakšpunkta i), ii) un iii) punktu,</w:t>
            </w:r>
          </w:p>
          <w:p w14:paraId="3497FEF0" w14:textId="5A779F58" w:rsidR="00087388" w:rsidRPr="000A6489" w:rsidRDefault="001505CE" w:rsidP="000A6489">
            <w:pPr>
              <w:autoSpaceDE w:val="0"/>
              <w:autoSpaceDN w:val="0"/>
              <w:adjustRightInd w:val="0"/>
              <w:spacing w:after="120"/>
              <w:jc w:val="both"/>
              <w:rPr>
                <w:sz w:val="24"/>
                <w:rFonts w:ascii="Times New Roman" w:hAnsi="Times New Roman" w:cs="Times New Roman"/>
              </w:rPr>
            </w:pPr>
            <w:r>
              <w:rPr>
                <w:rFonts w:ascii="Times New Roman" w:hAnsi="Times New Roman"/>
              </w:rPr>
              <w:t xml:space="preserve">— riska darījumu kategorijā “riska darījumi ar privātpersonām vai MVU” – sadalījums saskaņā ar 147. panta 2. punkta d) apakšpunkta i), ii), iii) un iv) punktu.</w:t>
            </w:r>
          </w:p>
        </w:tc>
      </w:tr>
      <w:tr w:rsidR="00087388" w:rsidRPr="00F1728C" w14:paraId="2396F8AA" w14:textId="77777777" w:rsidTr="11F50173">
        <w:trPr>
          <w:trHeight w:val="841"/>
        </w:trPr>
        <w:tc>
          <w:tcPr>
            <w:tcW w:w="1413" w:type="dxa"/>
          </w:tcPr>
          <w:p w14:paraId="4237E745" w14:textId="77777777" w:rsidR="00087388" w:rsidRPr="00F1728C" w:rsidRDefault="00087388" w:rsidP="00725D4D">
            <w:pPr>
              <w:pStyle w:val="Applicationdirecte"/>
              <w:spacing w:before="0"/>
            </w:pPr>
            <w:r>
              <w:t xml:space="preserve">a (</w:t>
            </w:r>
            <w:r>
              <w:rPr>
                <w:i/>
              </w:rPr>
              <w:t xml:space="preserve">F-IRB</w:t>
            </w:r>
            <w:r>
              <w:t xml:space="preserve">)</w:t>
            </w:r>
          </w:p>
        </w:tc>
        <w:tc>
          <w:tcPr>
            <w:tcW w:w="7626" w:type="dxa"/>
          </w:tcPr>
          <w:p w14:paraId="7E69C8DB" w14:textId="77777777" w:rsidR="00087388" w:rsidRPr="00F1728C" w:rsidRDefault="00087388" w:rsidP="00725D4D">
            <w:pPr>
              <w:spacing w:after="120"/>
              <w:jc w:val="both"/>
              <w:rPr>
                <w:b/>
                <w:sz w:val="24"/>
                <w:rFonts w:ascii="Times New Roman" w:hAnsi="Times New Roman" w:cs="Times New Roman"/>
              </w:rPr>
            </w:pPr>
            <w:r>
              <w:rPr>
                <w:b/>
                <w:sz w:val="24"/>
                <w:rFonts w:ascii="Times New Roman" w:hAnsi="Times New Roman"/>
              </w:rPr>
              <w:t xml:space="preserve">Riska darījumu kategorijas</w:t>
            </w:r>
          </w:p>
          <w:p w14:paraId="74D84A0D" w14:textId="41E7D05F" w:rsidR="00087388" w:rsidRPr="00F1728C" w:rsidRDefault="00087388" w:rsidP="11F50173">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Par katru riska darījumu kategoriju, kas uzskaitīta Regulas (ES) Nr. 575/2013 147. panta 2. punktā, iestādes atklāj informāciju atsevišķā veidnē ar sīkāku sadalījumu šādām riska darījumu kategorijām:</w:t>
            </w:r>
          </w:p>
          <w:p w14:paraId="2AD4AA46" w14:textId="1AA94ABB" w:rsidR="00CB5E48" w:rsidRPr="00F1728C" w:rsidRDefault="00CB5E48" w:rsidP="00CB5E48">
            <w:pPr>
              <w:spacing w:after="120"/>
              <w:jc w:val="both"/>
              <w:rPr>
                <w:sz w:val="24"/>
                <w:rFonts w:ascii="Times New Roman" w:hAnsi="Times New Roman" w:cs="Times New Roman"/>
              </w:rPr>
            </w:pPr>
            <w:r>
              <w:rPr>
                <w:sz w:val="24"/>
                <w:rFonts w:ascii="Times New Roman" w:hAnsi="Times New Roman"/>
              </w:rPr>
              <w:t xml:space="preserve">— riska darījumu kategorijā “riska darījumi ar komercsabiedrībām” – sadalījums saskaņā ar 147. panta 2. punkta c) apakšpunkta i), ii) un iii) punktu.</w:t>
            </w:r>
          </w:p>
          <w:p w14:paraId="01792FD8" w14:textId="4F8E6E73" w:rsidR="00087388" w:rsidRPr="000A6489" w:rsidRDefault="00087388" w:rsidP="00725D4D">
            <w:pPr>
              <w:autoSpaceDE w:val="0"/>
              <w:autoSpaceDN w:val="0"/>
              <w:adjustRightInd w:val="0"/>
              <w:spacing w:after="120"/>
              <w:ind w:left="720"/>
              <w:jc w:val="both"/>
              <w:rPr>
                <w:rFonts w:ascii="Times New Roman" w:hAnsi="Times New Roman" w:cs="Times New Roman"/>
                <w:sz w:val="24"/>
              </w:rPr>
            </w:pPr>
          </w:p>
        </w:tc>
      </w:tr>
      <w:tr w:rsidR="00087388" w:rsidRPr="00F1728C" w14:paraId="378B22BB" w14:textId="77777777" w:rsidTr="11F50173">
        <w:trPr>
          <w:trHeight w:val="841"/>
        </w:trPr>
        <w:tc>
          <w:tcPr>
            <w:tcW w:w="1413" w:type="dxa"/>
          </w:tcPr>
          <w:p w14:paraId="305C6D05" w14:textId="77777777" w:rsidR="00087388" w:rsidRPr="00F1728C" w:rsidRDefault="00087388" w:rsidP="00725D4D">
            <w:pPr>
              <w:pStyle w:val="Applicationdirecte"/>
              <w:spacing w:before="0"/>
            </w:pPr>
            <w:r>
              <w:t xml:space="preserve"> </w:t>
            </w:r>
            <w:r>
              <w:t xml:space="preserve">b</w:t>
            </w:r>
          </w:p>
        </w:tc>
        <w:tc>
          <w:tcPr>
            <w:tcW w:w="7626" w:type="dxa"/>
          </w:tcPr>
          <w:p w14:paraId="0D2F2153" w14:textId="77777777" w:rsidR="00087388" w:rsidRPr="00F1728C" w:rsidRDefault="00087388" w:rsidP="00725D4D">
            <w:pPr>
              <w:pStyle w:val="Applicationdirecte"/>
              <w:spacing w:before="0"/>
              <w:rPr>
                <w:b/>
              </w:rPr>
            </w:pPr>
            <w:r>
              <w:rPr>
                <w:b/>
                <w:i/>
              </w:rPr>
              <w:t xml:space="preserve">PD</w:t>
            </w:r>
            <w:r>
              <w:rPr>
                <w:b/>
              </w:rPr>
              <w:t xml:space="preserve"> diapazons</w:t>
            </w:r>
          </w:p>
          <w:p w14:paraId="1AEE4784" w14:textId="77777777" w:rsidR="00087388" w:rsidRPr="00F1728C" w:rsidRDefault="00087388" w:rsidP="00725D4D">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Šis ir fiksēts </w:t>
            </w:r>
            <w:r>
              <w:rPr>
                <w:sz w:val="24"/>
                <w:i/>
                <w:rFonts w:ascii="Times New Roman" w:hAnsi="Times New Roman"/>
              </w:rPr>
              <w:t xml:space="preserve">PD</w:t>
            </w:r>
            <w:r>
              <w:rPr>
                <w:sz w:val="24"/>
                <w:rFonts w:ascii="Times New Roman" w:hAnsi="Times New Roman"/>
              </w:rPr>
              <w:t xml:space="preserve"> diapazons, ko nemaina.</w:t>
            </w:r>
          </w:p>
          <w:p w14:paraId="5C4179D2" w14:textId="77777777" w:rsidR="00087388" w:rsidRPr="00F1728C" w:rsidRDefault="00087388" w:rsidP="00725D4D">
            <w:pPr>
              <w:spacing w:after="120"/>
              <w:jc w:val="both"/>
              <w:rPr>
                <w:sz w:val="24"/>
                <w:rFonts w:ascii="Times New Roman" w:hAnsi="Times New Roman" w:cs="Times New Roman"/>
              </w:rPr>
            </w:pPr>
            <w:r>
              <w:rPr>
                <w:sz w:val="24"/>
                <w:rFonts w:ascii="Times New Roman" w:hAnsi="Times New Roman"/>
              </w:rPr>
              <w:t xml:space="preserve">Riska darījumus iedala atbilstošā fiksētā </w:t>
            </w:r>
            <w:r>
              <w:rPr>
                <w:sz w:val="24"/>
                <w:i/>
                <w:rFonts w:ascii="Times New Roman" w:hAnsi="Times New Roman"/>
              </w:rPr>
              <w:t xml:space="preserve">PD</w:t>
            </w:r>
            <w:r>
              <w:rPr>
                <w:sz w:val="24"/>
                <w:rFonts w:ascii="Times New Roman" w:hAnsi="Times New Roman"/>
              </w:rPr>
              <w:t xml:space="preserve"> diapazona grupā, pamatojoties uz </w:t>
            </w:r>
            <w:r>
              <w:rPr>
                <w:sz w:val="24"/>
                <w:i/>
                <w:rFonts w:ascii="Times New Roman" w:hAnsi="Times New Roman"/>
              </w:rPr>
              <w:t xml:space="preserve">PD</w:t>
            </w:r>
            <w:r>
              <w:rPr>
                <w:sz w:val="24"/>
                <w:rFonts w:ascii="Times New Roman" w:hAnsi="Times New Roman"/>
              </w:rPr>
              <w:t xml:space="preserve">, kas aplēsti informācijas atklāšanas perioda sākumā par katru parādnieku, kurš iedalīts šajā riska darījumu kategorijā (neņemot vērā aizstāšanas ietekmi saistībā ar kredītriska mazināšanu).</w:t>
            </w:r>
            <w:r>
              <w:rPr>
                <w:sz w:val="24"/>
                <w:rFonts w:ascii="Times New Roman" w:hAnsi="Times New Roman"/>
              </w:rPr>
              <w:t xml:space="preserve">  </w:t>
            </w:r>
            <w:r>
              <w:rPr>
                <w:sz w:val="24"/>
                <w:rFonts w:ascii="Times New Roman" w:hAnsi="Times New Roman"/>
              </w:rPr>
              <w:t xml:space="preserve">Visus riska darījumus, kuros netiek pildītas saistības, iekļauj grupā, kur </w:t>
            </w:r>
            <w:r>
              <w:rPr>
                <w:sz w:val="24"/>
                <w:i/>
                <w:rFonts w:ascii="Times New Roman" w:hAnsi="Times New Roman"/>
              </w:rPr>
              <w:t xml:space="preserve">PD</w:t>
            </w:r>
            <w:r>
              <w:rPr>
                <w:sz w:val="24"/>
                <w:rFonts w:ascii="Times New Roman" w:hAnsi="Times New Roman"/>
              </w:rPr>
              <w:t xml:space="preserve"> ir 100 %.</w:t>
            </w:r>
          </w:p>
        </w:tc>
      </w:tr>
      <w:tr w:rsidR="00087388" w:rsidRPr="00F1728C" w14:paraId="2DDDAD83" w14:textId="77777777" w:rsidTr="11F50173">
        <w:trPr>
          <w:trHeight w:val="554"/>
        </w:trPr>
        <w:tc>
          <w:tcPr>
            <w:tcW w:w="1413" w:type="dxa"/>
          </w:tcPr>
          <w:p w14:paraId="214A12E9" w14:textId="77777777" w:rsidR="00087388" w:rsidRPr="00F1728C" w:rsidRDefault="00087388" w:rsidP="00725D4D">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c, d</w:t>
            </w:r>
          </w:p>
        </w:tc>
        <w:tc>
          <w:tcPr>
            <w:tcW w:w="7626" w:type="dxa"/>
          </w:tcPr>
          <w:p w14:paraId="11C6CB32" w14:textId="77777777" w:rsidR="00087388" w:rsidRPr="00F1728C" w:rsidRDefault="00087388" w:rsidP="00725D4D">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Parādnieku skaits iepriekšējā gada beigās</w:t>
            </w:r>
          </w:p>
          <w:p w14:paraId="2FC0CC71" w14:textId="77777777" w:rsidR="00087388" w:rsidRPr="00F1728C" w:rsidRDefault="00087388" w:rsidP="00725D4D">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Iestādes atklāj šādus divus informācijas kopumus:</w:t>
            </w:r>
            <w:r>
              <w:rPr>
                <w:sz w:val="24"/>
                <w:rFonts w:ascii="Times New Roman" w:hAnsi="Times New Roman"/>
              </w:rPr>
              <w:t xml:space="preserve"> </w:t>
            </w:r>
          </w:p>
          <w:p w14:paraId="337D986F" w14:textId="77777777" w:rsidR="00087388" w:rsidRPr="00F1728C" w:rsidRDefault="00087388" w:rsidP="000A6489">
            <w:pPr>
              <w:pStyle w:val="ListParagraph"/>
              <w:numPr>
                <w:ilvl w:val="0"/>
                <w:numId w:val="4"/>
              </w:numPr>
              <w:autoSpaceDE w:val="0"/>
              <w:autoSpaceDN w:val="0"/>
              <w:adjustRightInd w:val="0"/>
              <w:spacing w:after="120"/>
              <w:ind w:left="598" w:hanging="598"/>
              <w:jc w:val="both"/>
              <w:rPr>
                <w:sz w:val="24"/>
                <w:rFonts w:ascii="Times New Roman" w:hAnsi="Times New Roman"/>
              </w:rPr>
            </w:pPr>
            <w:r>
              <w:rPr>
                <w:sz w:val="24"/>
                <w:rFonts w:ascii="Times New Roman" w:hAnsi="Times New Roman"/>
              </w:rPr>
              <w:t xml:space="preserve">parādnieku skaits iepriekšējā gada beigās (šīs veidnes c aile);</w:t>
            </w:r>
          </w:p>
          <w:p w14:paraId="7A6561ED" w14:textId="77777777" w:rsidR="00087388" w:rsidRPr="00F1728C" w:rsidRDefault="00087388" w:rsidP="000A6489">
            <w:pPr>
              <w:pStyle w:val="ListParagraph"/>
              <w:autoSpaceDE w:val="0"/>
              <w:autoSpaceDN w:val="0"/>
              <w:adjustRightInd w:val="0"/>
              <w:spacing w:after="120"/>
              <w:ind w:left="598"/>
              <w:jc w:val="both"/>
              <w:rPr>
                <w:sz w:val="24"/>
                <w:szCs w:val="24"/>
                <w:rFonts w:ascii="Times New Roman" w:eastAsiaTheme="minorEastAsia" w:hAnsi="Times New Roman"/>
              </w:rPr>
            </w:pPr>
            <w:r>
              <w:rPr>
                <w:sz w:val="24"/>
                <w:rFonts w:ascii="Times New Roman" w:hAnsi="Times New Roman"/>
              </w:rPr>
              <w:t xml:space="preserve">parādnieku skaits tā gada beigās, uz kuru attiecas atklātā informācija.</w:t>
            </w:r>
            <w:r>
              <w:rPr>
                <w:sz w:val="24"/>
                <w:rFonts w:ascii="Times New Roman" w:hAnsi="Times New Roman"/>
              </w:rPr>
              <w:t xml:space="preserve"> </w:t>
            </w:r>
          </w:p>
          <w:p w14:paraId="2C3FAF78" w14:textId="77777777" w:rsidR="00087388" w:rsidRPr="00F1728C" w:rsidRDefault="00087388" w:rsidP="000A6489">
            <w:pPr>
              <w:pStyle w:val="ListParagraph"/>
              <w:autoSpaceDE w:val="0"/>
              <w:autoSpaceDN w:val="0"/>
              <w:adjustRightInd w:val="0"/>
              <w:spacing w:after="120"/>
              <w:ind w:left="598"/>
              <w:jc w:val="both"/>
              <w:rPr>
                <w:sz w:val="24"/>
                <w:szCs w:val="24"/>
                <w:rFonts w:ascii="Times New Roman" w:eastAsiaTheme="minorEastAsia" w:hAnsi="Times New Roman"/>
              </w:rPr>
            </w:pPr>
            <w:r>
              <w:rPr>
                <w:sz w:val="24"/>
                <w:rFonts w:ascii="Times New Roman" w:hAnsi="Times New Roman"/>
              </w:rPr>
              <w:t xml:space="preserve">Abos gadījumos iekļauj visus parādniekus, kuriem attiecīgajā brīdī ir kredītsaistības.</w:t>
            </w:r>
          </w:p>
          <w:p w14:paraId="34B48B79" w14:textId="77777777" w:rsidR="00087388" w:rsidRPr="00F1728C" w:rsidRDefault="00087388" w:rsidP="000A6489">
            <w:pPr>
              <w:pStyle w:val="ListParagraph"/>
              <w:autoSpaceDE w:val="0"/>
              <w:autoSpaceDN w:val="0"/>
              <w:adjustRightInd w:val="0"/>
              <w:spacing w:after="120"/>
              <w:ind w:left="598"/>
              <w:jc w:val="both"/>
              <w:rPr>
                <w:sz w:val="24"/>
                <w:rFonts w:ascii="Times New Roman" w:hAnsi="Times New Roman"/>
              </w:rPr>
            </w:pPr>
            <w:r>
              <w:rPr>
                <w:sz w:val="24"/>
                <w:rFonts w:ascii="Times New Roman" w:hAnsi="Times New Roman"/>
              </w:rPr>
              <w:t xml:space="preserve">Iestādes atklāj to juridisko personu vai parādnieku skaitu, kuri iedalīti katrā fiksētā </w:t>
            </w:r>
            <w:r>
              <w:rPr>
                <w:sz w:val="24"/>
                <w:i/>
                <w:rFonts w:ascii="Times New Roman" w:hAnsi="Times New Roman"/>
              </w:rPr>
              <w:t xml:space="preserve">PD</w:t>
            </w:r>
            <w:r>
              <w:rPr>
                <w:sz w:val="24"/>
                <w:rFonts w:ascii="Times New Roman" w:hAnsi="Times New Roman"/>
              </w:rPr>
              <w:t xml:space="preserve"> diapazona grupā līdz iepriekšējā gada beigām un kuri novērtēti atsevišķi, neatkarīgi no dažādo piešķirto aizdevumu vai riska darījumu skaita.</w:t>
            </w:r>
            <w:r>
              <w:rPr>
                <w:sz w:val="24"/>
                <w:rFonts w:ascii="Times New Roman" w:hAnsi="Times New Roman"/>
              </w:rPr>
              <w:t xml:space="preserve"> </w:t>
            </w:r>
          </w:p>
          <w:p w14:paraId="4CF8FD57" w14:textId="6C7FD8DF" w:rsidR="00087388" w:rsidRPr="00F1728C" w:rsidRDefault="00087388" w:rsidP="000A6489">
            <w:pPr>
              <w:pStyle w:val="ListParagraph"/>
              <w:autoSpaceDE w:val="0"/>
              <w:autoSpaceDN w:val="0"/>
              <w:adjustRightInd w:val="0"/>
              <w:spacing w:after="120"/>
              <w:ind w:left="598"/>
              <w:jc w:val="both"/>
              <w:rPr>
                <w:sz w:val="24"/>
                <w:szCs w:val="24"/>
                <w:rFonts w:ascii="Times New Roman" w:hAnsi="Times New Roman"/>
              </w:rPr>
            </w:pPr>
            <w:r>
              <w:rPr>
                <w:sz w:val="24"/>
                <w:rFonts w:ascii="Times New Roman" w:hAnsi="Times New Roman"/>
              </w:rPr>
              <w:t xml:space="preserve">Kopparādniekus ņem vērā tāpat kā </w:t>
            </w:r>
            <w:r>
              <w:rPr>
                <w:sz w:val="24"/>
                <w:i/>
                <w:rFonts w:ascii="Times New Roman" w:hAnsi="Times New Roman"/>
              </w:rPr>
              <w:t xml:space="preserve">PD</w:t>
            </w:r>
            <w:r>
              <w:rPr>
                <w:sz w:val="24"/>
                <w:rFonts w:ascii="Times New Roman" w:hAnsi="Times New Roman"/>
              </w:rPr>
              <w:t xml:space="preserve"> kalibrācijas nolūkos.</w:t>
            </w:r>
            <w:r>
              <w:rPr>
                <w:sz w:val="24"/>
                <w:rFonts w:ascii="Times New Roman" w:hAnsi="Times New Roman"/>
              </w:rPr>
              <w:t xml:space="preserve"> </w:t>
            </w:r>
            <w:r>
              <w:rPr>
                <w:sz w:val="24"/>
                <w:rFonts w:ascii="Times New Roman" w:hAnsi="Times New Roman"/>
              </w:rPr>
              <w:t xml:space="preserve">Ja dažādus riska darījumus ar vienu un to pašu parādnieku novērtē atsevišķi, tos skaita atsevišķi.</w:t>
            </w:r>
            <w:r>
              <w:rPr>
                <w:sz w:val="24"/>
                <w:rFonts w:ascii="Times New Roman" w:hAnsi="Times New Roman"/>
              </w:rPr>
              <w:t xml:space="preserve"> </w:t>
            </w:r>
            <w:r>
              <w:rPr>
                <w:sz w:val="24"/>
                <w:rFonts w:ascii="Times New Roman" w:hAnsi="Times New Roman"/>
              </w:rPr>
              <w:t xml:space="preserve">Šāda situācija var rasties riska darījumu ar privātpersonām vai MVU kategorijā, ja saistību neizpildes definīciju piemēro atsevišķas kredītiespējas līmenī saskaņā ar Regulas (ES) Nr. 575/2013 178. panta 1. punkta pēdējo teikumu.</w:t>
            </w:r>
            <w:r>
              <w:rPr>
                <w:sz w:val="24"/>
                <w:rFonts w:ascii="Times New Roman" w:hAnsi="Times New Roman"/>
              </w:rPr>
              <w:t xml:space="preserve"> </w:t>
            </w:r>
            <w:r>
              <w:rPr>
                <w:sz w:val="24"/>
                <w:rFonts w:ascii="Times New Roman" w:hAnsi="Times New Roman"/>
              </w:rPr>
              <w:t xml:space="preserve">Šāda situācija var rasties arī tad, ja atsevišķi riska darījumi ar vienu un to pašu parādnieku tiek iedalīti dažādās parādnieku kategorijās saskaņā ar Regulas (ES) Nr. 575/2013 172. panta 1. punkta e) apakšpunkta otro teikumu;</w:t>
            </w:r>
            <w:r>
              <w:rPr>
                <w:sz w:val="24"/>
                <w:rFonts w:ascii="Times New Roman" w:hAnsi="Times New Roman"/>
              </w:rPr>
              <w:t xml:space="preserve"> </w:t>
            </w:r>
          </w:p>
          <w:p w14:paraId="5F6ED66A" w14:textId="6F0CE9DE" w:rsidR="001505CE" w:rsidRPr="00F1728C" w:rsidRDefault="00087388" w:rsidP="000A6489">
            <w:pPr>
              <w:pStyle w:val="ListParagraph"/>
              <w:numPr>
                <w:ilvl w:val="0"/>
                <w:numId w:val="4"/>
              </w:numPr>
              <w:spacing w:after="120"/>
              <w:ind w:left="598" w:hanging="598"/>
              <w:jc w:val="both"/>
              <w:rPr>
                <w:sz w:val="24"/>
                <w:rFonts w:ascii="Times New Roman" w:hAnsi="Times New Roman"/>
              </w:rPr>
            </w:pPr>
            <w:r>
              <w:rPr>
                <w:sz w:val="24"/>
                <w:rFonts w:ascii="Times New Roman" w:hAnsi="Times New Roman"/>
              </w:rPr>
              <w:t xml:space="preserve">tajā skaitā to parādnieku skaits, kuri nav izpildījuši savas saistības gadā pirms informācijas atklāšanas datuma (šīs veidnes d aile).</w:t>
            </w:r>
          </w:p>
          <w:p w14:paraId="42A4D76F" w14:textId="2BBF5C6D" w:rsidR="00087388" w:rsidRPr="000A6489" w:rsidRDefault="00087388" w:rsidP="000A6489">
            <w:pPr>
              <w:pStyle w:val="ListParagraph"/>
              <w:spacing w:after="120"/>
              <w:ind w:left="598"/>
              <w:jc w:val="both"/>
              <w:rPr>
                <w:sz w:val="24"/>
                <w:rFonts w:ascii="Times New Roman" w:hAnsi="Times New Roman"/>
              </w:rPr>
            </w:pPr>
            <w:r>
              <w:rPr>
                <w:sz w:val="24"/>
                <w:rFonts w:ascii="Times New Roman" w:hAnsi="Times New Roman"/>
              </w:rPr>
              <w:t xml:space="preserve">Šis ir šīs veidnes c ailes apakškopums, kurā norāda to parādnieku skaitu, kas gada laikā nav izpildījuši savas saistības.</w:t>
            </w:r>
            <w:r>
              <w:rPr>
                <w:sz w:val="24"/>
                <w:rFonts w:ascii="Times New Roman" w:hAnsi="Times New Roman"/>
              </w:rPr>
              <w:t xml:space="preserve"> </w:t>
            </w:r>
            <w:r>
              <w:rPr>
                <w:sz w:val="24"/>
                <w:rFonts w:ascii="Times New Roman" w:hAnsi="Times New Roman"/>
              </w:rPr>
              <w:t xml:space="preserve">Saistību neizpilde tiek noteikta saskaņā ar Regulas (ES) Nr. 575/2013 178. pantu.</w:t>
            </w:r>
            <w:r>
              <w:rPr>
                <w:sz w:val="24"/>
                <w:rFonts w:ascii="Times New Roman" w:hAnsi="Times New Roman"/>
              </w:rPr>
              <w:t xml:space="preserve"> </w:t>
            </w:r>
            <w:r>
              <w:rPr>
                <w:sz w:val="24"/>
                <w:rFonts w:ascii="Times New Roman" w:hAnsi="Times New Roman"/>
              </w:rPr>
              <w:t xml:space="preserve">Katru parādnieku, kas nepilda savas saistības, viena gada saistību neizpildes rādītāja aprēķina skaitītājā un saucējā ieskaita tikai vienreiz, pat ja attiecīgajā viena gada periodā parādnieks savas saistības nav izpildījis vairāk nekā vienu reizi.</w:t>
            </w:r>
          </w:p>
        </w:tc>
      </w:tr>
      <w:tr w:rsidR="00087388" w:rsidRPr="00F1728C" w14:paraId="677F40C0" w14:textId="77777777" w:rsidTr="11F50173">
        <w:trPr>
          <w:trHeight w:val="316"/>
        </w:trPr>
        <w:tc>
          <w:tcPr>
            <w:tcW w:w="1413" w:type="dxa"/>
          </w:tcPr>
          <w:p w14:paraId="6D57B0F0" w14:textId="77777777" w:rsidR="00087388" w:rsidRPr="00F1728C" w:rsidRDefault="00087388" w:rsidP="00725D4D">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e</w:t>
            </w:r>
          </w:p>
        </w:tc>
        <w:tc>
          <w:tcPr>
            <w:tcW w:w="7626" w:type="dxa"/>
          </w:tcPr>
          <w:p w14:paraId="585D55D1" w14:textId="77777777" w:rsidR="00087388" w:rsidRPr="00F1728C" w:rsidRDefault="00087388" w:rsidP="00725D4D">
            <w:pPr>
              <w:autoSpaceDE w:val="0"/>
              <w:autoSpaceDN w:val="0"/>
              <w:adjustRightInd w:val="0"/>
              <w:spacing w:after="120"/>
              <w:jc w:val="both"/>
              <w:rPr>
                <w:b/>
                <w:sz w:val="24"/>
                <w:rFonts w:ascii="Times New Roman" w:hAnsi="Times New Roman" w:cs="Times New Roman"/>
              </w:rPr>
            </w:pPr>
            <w:r>
              <w:rPr>
                <w:b/>
                <w:sz w:val="24"/>
                <w:rFonts w:ascii="Times New Roman" w:hAnsi="Times New Roman"/>
              </w:rPr>
              <w:t xml:space="preserve">Novērotais vidējais saistību neizpildes rādītājs</w:t>
            </w:r>
          </w:p>
          <w:p w14:paraId="342F1D67" w14:textId="30705C72" w:rsidR="00087388" w:rsidRPr="00F1728C" w:rsidRDefault="00087388" w:rsidP="11F50173">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Viena gada saistību neizpildes rādītāja, kā definēts Regulas (ES) Nr. 575/2013 4. panta 1. punkta 78. apakšpunktā, aritmētiskais vidējais, kas novērots pieejamajā datu kopā.</w:t>
            </w:r>
          </w:p>
          <w:p w14:paraId="4FD8B958" w14:textId="77777777" w:rsidR="00087388" w:rsidRPr="00F1728C" w:rsidRDefault="00087388" w:rsidP="00725D4D">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Aprēķinot viena gada saistību neizpildes rādītājus, iestādes nodrošina abus no turpmāk minētajiem:</w:t>
            </w:r>
          </w:p>
          <w:p w14:paraId="4172021F" w14:textId="77777777" w:rsidR="00087388" w:rsidRPr="00F1728C" w:rsidRDefault="00087388" w:rsidP="00725D4D">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a) saucējs sastāv no to parādnieku skaita, kuri ir izpildījuši savas saistības un kuriem ir jebkādas kredītsaistības, kas novērots viena gada novērojumu perioda sākumā (iepriekšējā informācijas atklāšanas perioda sākums, t. i., tā gada sākums, kas ir pirms informācijas atklāšanas atsauces datuma);</w:t>
            </w:r>
            <w:r>
              <w:rPr>
                <w:sz w:val="24"/>
                <w:rFonts w:ascii="Times New Roman" w:hAnsi="Times New Roman"/>
              </w:rPr>
              <w:t xml:space="preserve"> </w:t>
            </w:r>
            <w:r>
              <w:rPr>
                <w:sz w:val="24"/>
                <w:rFonts w:ascii="Times New Roman" w:hAnsi="Times New Roman"/>
              </w:rPr>
              <w:t xml:space="preserve">šajā saistībā kredītsaistības attiecas uz šiem abiem:</w:t>
            </w:r>
            <w:r>
              <w:rPr>
                <w:sz w:val="24"/>
                <w:rFonts w:ascii="Times New Roman" w:hAnsi="Times New Roman"/>
              </w:rPr>
              <w:t xml:space="preserve"> </w:t>
            </w:r>
            <w:r>
              <w:rPr>
                <w:sz w:val="24"/>
                <w:rFonts w:ascii="Times New Roman" w:hAnsi="Times New Roman"/>
              </w:rPr>
              <w:t xml:space="preserve">i) jebkurš bilances postenis, ieskaitot jebkādu pamatsummu, procentu un maksājumu summu;</w:t>
            </w:r>
            <w:r>
              <w:rPr>
                <w:sz w:val="24"/>
                <w:rFonts w:ascii="Times New Roman" w:hAnsi="Times New Roman"/>
              </w:rPr>
              <w:t xml:space="preserve"> </w:t>
            </w:r>
            <w:r>
              <w:rPr>
                <w:sz w:val="24"/>
                <w:rFonts w:ascii="Times New Roman" w:hAnsi="Times New Roman"/>
              </w:rPr>
              <w:t xml:space="preserve">ii) jebkuri ārpusbilances posteņi, ieskaitot garantijas, ko sniegusi iestāde kā galvotājs;</w:t>
            </w:r>
          </w:p>
          <w:p w14:paraId="4D080CCD" w14:textId="77777777" w:rsidR="00087388" w:rsidRPr="00F1728C" w:rsidRDefault="00087388" w:rsidP="00725D4D">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b) skaitītājs ietver visus tos parādniekus, kas ņemti vērā saucējā un kam bijis vismaz viens saistību neizpildes gadījums viena gada novērojumu periodā (gadā pirms informācijas atklāšanas atsauces datuma).</w:t>
            </w:r>
          </w:p>
          <w:p w14:paraId="44140519" w14:textId="77777777" w:rsidR="00087388" w:rsidRPr="00F1728C" w:rsidRDefault="00087388" w:rsidP="00725D4D">
            <w:pPr>
              <w:spacing w:after="120"/>
              <w:jc w:val="both"/>
              <w:rPr>
                <w:sz w:val="24"/>
                <w:rFonts w:ascii="Times New Roman" w:hAnsi="Times New Roman" w:cs="Times New Roman"/>
              </w:rPr>
            </w:pPr>
            <w:r>
              <w:rPr>
                <w:sz w:val="24"/>
                <w:rFonts w:ascii="Times New Roman" w:hAnsi="Times New Roman"/>
              </w:rPr>
              <w:t xml:space="preserve">Lai aprēķinātu novēroto vidējo saistību neizpildes rādītāju, iestādes izvēlas atbilstošu pieeju – pieeju, kas balstīta uz viena gada laika intervāliem, kuri pārklājas, un pieeju, kas balstīta uz viena gada laika intervāliem, kuri nepārklājas.</w:t>
            </w:r>
          </w:p>
        </w:tc>
      </w:tr>
      <w:tr w:rsidR="00087388" w:rsidRPr="00F1728C" w14:paraId="1417BA0F" w14:textId="77777777" w:rsidTr="11F50173">
        <w:trPr>
          <w:trHeight w:val="316"/>
        </w:trPr>
        <w:tc>
          <w:tcPr>
            <w:tcW w:w="1413" w:type="dxa"/>
          </w:tcPr>
          <w:p w14:paraId="41B9DDB7" w14:textId="77777777" w:rsidR="00087388" w:rsidRPr="00F1728C" w:rsidRDefault="00087388" w:rsidP="00725D4D">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f</w:t>
            </w:r>
          </w:p>
        </w:tc>
        <w:tc>
          <w:tcPr>
            <w:tcW w:w="7626" w:type="dxa"/>
          </w:tcPr>
          <w:p w14:paraId="537B3C8C" w14:textId="77777777" w:rsidR="00087388" w:rsidRPr="00F1728C" w:rsidRDefault="00087388" w:rsidP="00725D4D">
            <w:pPr>
              <w:autoSpaceDE w:val="0"/>
              <w:autoSpaceDN w:val="0"/>
              <w:adjustRightInd w:val="0"/>
              <w:spacing w:after="120"/>
              <w:jc w:val="both"/>
              <w:rPr>
                <w:b/>
                <w:sz w:val="24"/>
                <w:rFonts w:ascii="Times New Roman" w:eastAsia="Times New Roman" w:hAnsi="Times New Roman" w:cs="Times New Roman"/>
              </w:rPr>
            </w:pPr>
            <w:r>
              <w:rPr>
                <w:b/>
                <w:sz w:val="24"/>
                <w:rFonts w:ascii="Times New Roman" w:hAnsi="Times New Roman"/>
              </w:rPr>
              <w:t xml:space="preserve">Riska darījumu svērtā vidējā </w:t>
            </w:r>
            <w:r>
              <w:rPr>
                <w:b/>
                <w:sz w:val="24"/>
                <w:i/>
                <w:rFonts w:ascii="Times New Roman" w:hAnsi="Times New Roman"/>
              </w:rPr>
              <w:t xml:space="preserve">PD</w:t>
            </w:r>
            <w:r>
              <w:rPr>
                <w:b/>
                <w:sz w:val="24"/>
                <w:rFonts w:ascii="Times New Roman" w:hAnsi="Times New Roman"/>
              </w:rPr>
              <w:t xml:space="preserve"> (%)</w:t>
            </w:r>
          </w:p>
          <w:p w14:paraId="5F0530EE" w14:textId="3A59E6A5" w:rsidR="00087388" w:rsidRPr="00F1728C" w:rsidRDefault="00087388" w:rsidP="00725D4D">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Riska darījumu svērtā vidējā </w:t>
            </w:r>
            <w:r>
              <w:rPr>
                <w:sz w:val="24"/>
                <w:i/>
                <w:rFonts w:ascii="Times New Roman" w:hAnsi="Times New Roman"/>
              </w:rPr>
              <w:t xml:space="preserve">PD</w:t>
            </w:r>
            <w:r>
              <w:rPr>
                <w:sz w:val="24"/>
                <w:rFonts w:ascii="Times New Roman" w:hAnsi="Times New Roman"/>
              </w:rPr>
              <w:t xml:space="preserve"> (%), kā norādīts veidnes EU CR6 f ailē;</w:t>
            </w:r>
            <w:r>
              <w:rPr>
                <w:sz w:val="24"/>
                <w:rFonts w:ascii="Times New Roman" w:hAnsi="Times New Roman"/>
              </w:rPr>
              <w:t xml:space="preserve"> </w:t>
            </w:r>
            <w:r>
              <w:rPr>
                <w:sz w:val="24"/>
                <w:rFonts w:ascii="Times New Roman" w:hAnsi="Times New Roman"/>
              </w:rPr>
              <w:t xml:space="preserve">par visiem riska darījumiem, kas iekļauti katrā fiksētā </w:t>
            </w:r>
            <w:r>
              <w:rPr>
                <w:sz w:val="24"/>
                <w:i/>
                <w:rFonts w:ascii="Times New Roman" w:hAnsi="Times New Roman"/>
              </w:rPr>
              <w:t xml:space="preserve">PD</w:t>
            </w:r>
            <w:r>
              <w:rPr>
                <w:sz w:val="24"/>
                <w:rFonts w:ascii="Times New Roman" w:hAnsi="Times New Roman"/>
              </w:rPr>
              <w:t xml:space="preserve"> diapazona grupā, – vidējā </w:t>
            </w:r>
            <w:r>
              <w:rPr>
                <w:sz w:val="24"/>
                <w:i/>
                <w:rFonts w:ascii="Times New Roman" w:hAnsi="Times New Roman"/>
              </w:rPr>
              <w:t xml:space="preserve">PD</w:t>
            </w:r>
            <w:r>
              <w:rPr>
                <w:sz w:val="24"/>
                <w:rFonts w:ascii="Times New Roman" w:hAnsi="Times New Roman"/>
              </w:rPr>
              <w:t xml:space="preserve"> aplēse par katru parādnieku, svērta ar riska darījumu vērtību pēc </w:t>
            </w:r>
            <w:r>
              <w:rPr>
                <w:sz w:val="24"/>
                <w:i/>
                <w:rFonts w:ascii="Times New Roman" w:hAnsi="Times New Roman"/>
              </w:rPr>
              <w:t xml:space="preserve">CCF</w:t>
            </w:r>
            <w:r>
              <w:rPr>
                <w:sz w:val="24"/>
                <w:rFonts w:ascii="Times New Roman" w:hAnsi="Times New Roman"/>
              </w:rPr>
              <w:t xml:space="preserve"> un kredītriska mazināšanas pasākumu piemērošanas, kā norādīts šīs veidnes EU CR6 e ailē.</w:t>
            </w:r>
          </w:p>
        </w:tc>
      </w:tr>
      <w:tr w:rsidR="00087388" w:rsidRPr="00F1728C" w14:paraId="6ADAC8CF" w14:textId="77777777" w:rsidTr="11F50173">
        <w:trPr>
          <w:trHeight w:val="316"/>
        </w:trPr>
        <w:tc>
          <w:tcPr>
            <w:tcW w:w="1413" w:type="dxa"/>
          </w:tcPr>
          <w:p w14:paraId="0CC8436E" w14:textId="77777777" w:rsidR="00087388" w:rsidRPr="00F1728C" w:rsidRDefault="00087388" w:rsidP="00725D4D">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g</w:t>
            </w:r>
          </w:p>
        </w:tc>
        <w:tc>
          <w:tcPr>
            <w:tcW w:w="7626" w:type="dxa"/>
          </w:tcPr>
          <w:p w14:paraId="601A7E32" w14:textId="77777777" w:rsidR="00087388" w:rsidRPr="00F1728C" w:rsidRDefault="00087388" w:rsidP="00725D4D">
            <w:pPr>
              <w:autoSpaceDE w:val="0"/>
              <w:autoSpaceDN w:val="0"/>
              <w:adjustRightInd w:val="0"/>
              <w:spacing w:after="120"/>
              <w:rPr>
                <w:b/>
                <w:sz w:val="24"/>
                <w:rFonts w:ascii="Times New Roman" w:eastAsia="Times New Roman" w:hAnsi="Times New Roman" w:cs="Times New Roman"/>
              </w:rPr>
            </w:pPr>
            <w:r>
              <w:rPr>
                <w:b/>
                <w:sz w:val="24"/>
                <w:rFonts w:ascii="Times New Roman" w:hAnsi="Times New Roman"/>
              </w:rPr>
              <w:t xml:space="preserve">Vidējā </w:t>
            </w:r>
            <w:r>
              <w:rPr>
                <w:b/>
                <w:sz w:val="24"/>
                <w:i/>
                <w:rFonts w:ascii="Times New Roman" w:hAnsi="Times New Roman"/>
              </w:rPr>
              <w:t xml:space="preserve">PD</w:t>
            </w:r>
            <w:r>
              <w:rPr>
                <w:b/>
                <w:sz w:val="24"/>
                <w:rFonts w:ascii="Times New Roman" w:hAnsi="Times New Roman"/>
              </w:rPr>
              <w:t xml:space="preserve"> informācijas atklāšanas datumā (%)</w:t>
            </w:r>
          </w:p>
          <w:p w14:paraId="5B9AD608" w14:textId="75E362E9" w:rsidR="00087388" w:rsidRPr="00F1728C" w:rsidRDefault="00087388" w:rsidP="00725D4D">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Aritmētiskā vidējā </w:t>
            </w:r>
            <w:r>
              <w:rPr>
                <w:sz w:val="24"/>
                <w:i/>
                <w:rFonts w:ascii="Times New Roman" w:hAnsi="Times New Roman"/>
              </w:rPr>
              <w:t xml:space="preserve">PD</w:t>
            </w:r>
            <w:r>
              <w:rPr>
                <w:sz w:val="24"/>
                <w:rFonts w:ascii="Times New Roman" w:hAnsi="Times New Roman"/>
              </w:rPr>
              <w:t xml:space="preserve"> informācijas atklāšanas perioda sākumā par tiem parādniekiem, kas ietilpst fiksētā </w:t>
            </w:r>
            <w:r>
              <w:rPr>
                <w:sz w:val="24"/>
                <w:i/>
                <w:rFonts w:ascii="Times New Roman" w:hAnsi="Times New Roman"/>
              </w:rPr>
              <w:t xml:space="preserve">PD</w:t>
            </w:r>
            <w:r>
              <w:rPr>
                <w:sz w:val="24"/>
                <w:rFonts w:ascii="Times New Roman" w:hAnsi="Times New Roman"/>
              </w:rPr>
              <w:t xml:space="preserve"> diapazona grupā un kas uzskaitīti d ailē (vidējais rādītājs, kas svērts ar parādnieku skaitu).</w:t>
            </w:r>
          </w:p>
        </w:tc>
      </w:tr>
      <w:tr w:rsidR="00087388" w:rsidRPr="00F1728C" w14:paraId="7D0D4738" w14:textId="77777777" w:rsidTr="11F50173">
        <w:trPr>
          <w:trHeight w:val="316"/>
        </w:trPr>
        <w:tc>
          <w:tcPr>
            <w:tcW w:w="1413" w:type="dxa"/>
          </w:tcPr>
          <w:p w14:paraId="7FCD0B2E" w14:textId="77777777" w:rsidR="00087388" w:rsidRPr="00F1728C" w:rsidRDefault="00087388" w:rsidP="00725D4D">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h</w:t>
            </w:r>
          </w:p>
        </w:tc>
        <w:tc>
          <w:tcPr>
            <w:tcW w:w="7626" w:type="dxa"/>
          </w:tcPr>
          <w:p w14:paraId="295C6402" w14:textId="77777777" w:rsidR="00087388" w:rsidRPr="00F1728C" w:rsidRDefault="00087388" w:rsidP="00725D4D">
            <w:pPr>
              <w:spacing w:after="120"/>
              <w:rPr>
                <w:b/>
                <w:sz w:val="24"/>
                <w:rFonts w:ascii="Times New Roman" w:eastAsia="Times New Roman" w:hAnsi="Times New Roman" w:cs="Times New Roman"/>
              </w:rPr>
            </w:pPr>
            <w:r>
              <w:rPr>
                <w:b/>
                <w:sz w:val="24"/>
                <w:rFonts w:ascii="Times New Roman" w:hAnsi="Times New Roman"/>
              </w:rPr>
              <w:t xml:space="preserve">Vidējais vēsturiskais gada saistību neizpildes rādītājs (%)</w:t>
            </w:r>
          </w:p>
          <w:p w14:paraId="399DE4C9" w14:textId="7DA98262" w:rsidR="00087388" w:rsidRPr="00F1728C" w:rsidRDefault="00087388" w:rsidP="00725D4D">
            <w:pPr>
              <w:spacing w:after="120"/>
              <w:jc w:val="both"/>
              <w:rPr>
                <w:sz w:val="24"/>
                <w:rFonts w:ascii="Times New Roman" w:eastAsia="Times New Roman" w:hAnsi="Times New Roman" w:cs="Times New Roman"/>
              </w:rPr>
            </w:pPr>
            <w:r>
              <w:rPr>
                <w:sz w:val="24"/>
                <w:rFonts w:ascii="Times New Roman" w:hAnsi="Times New Roman"/>
              </w:rPr>
              <w:t xml:space="preserve">Vismaz piecu pēdējo gadu gada saistību neizpildes rādītāja vidējais svērtais rādītājs (tie parādnieki katra gada sākumā, kuri nav izpildījuši savas saistības attiecīgajā gadā / kopējais parādnieku skaits gada sākumā).</w:t>
            </w:r>
          </w:p>
          <w:p w14:paraId="19B9AA5D" w14:textId="28091B16" w:rsidR="00087388" w:rsidRPr="00F1728C" w:rsidRDefault="00087388" w:rsidP="00725D4D">
            <w:pPr>
              <w:spacing w:after="120"/>
              <w:jc w:val="both"/>
              <w:rPr>
                <w:sz w:val="24"/>
                <w:rFonts w:ascii="Times New Roman" w:hAnsi="Times New Roman" w:cs="Times New Roman"/>
              </w:rPr>
            </w:pPr>
            <w:r>
              <w:rPr>
                <w:sz w:val="24"/>
                <w:rFonts w:ascii="Times New Roman" w:hAnsi="Times New Roman"/>
              </w:rPr>
              <w:t xml:space="preserve">Iestāde var izmantot ilgāku vēsturisko periodu, kas atbilst iestādes faktiskajai riska pārvaldības praksei.</w:t>
            </w:r>
            <w:r>
              <w:rPr>
                <w:sz w:val="24"/>
                <w:rFonts w:ascii="Times New Roman" w:hAnsi="Times New Roman"/>
              </w:rPr>
              <w:t xml:space="preserve"> </w:t>
            </w:r>
            <w:r>
              <w:rPr>
                <w:sz w:val="24"/>
                <w:rFonts w:ascii="Times New Roman" w:hAnsi="Times New Roman"/>
              </w:rPr>
              <w:t xml:space="preserve">Ja iestāde izmanto ilgāku vēsturisko periodu, tā to paskaidro un precizē šai veidnei pievienotajā izklāsta daļā.</w:t>
            </w:r>
          </w:p>
        </w:tc>
      </w:tr>
    </w:tbl>
    <w:p w14:paraId="61CDCEAD" w14:textId="77777777" w:rsidR="00087388" w:rsidRPr="00F1728C" w:rsidRDefault="00087388" w:rsidP="00087388">
      <w:pPr>
        <w:spacing w:after="120"/>
        <w:rPr>
          <w:rFonts w:ascii="Times New Roman" w:hAnsi="Times New Roman" w:cs="Times New Roman"/>
          <w:sz w:val="24"/>
        </w:rPr>
      </w:pPr>
    </w:p>
    <w:p w14:paraId="6BB9E253" w14:textId="77777777" w:rsidR="00087388" w:rsidRPr="00F1728C" w:rsidRDefault="00087388" w:rsidP="00087388">
      <w:pPr>
        <w:spacing w:after="120"/>
        <w:rPr>
          <w:rFonts w:ascii="Times New Roman" w:hAnsi="Times New Roman" w:cs="Times New Roman"/>
          <w:sz w:val="24"/>
        </w:rPr>
      </w:pPr>
    </w:p>
    <w:p w14:paraId="212C2C1E" w14:textId="4AFD01E6" w:rsidR="00087388" w:rsidRPr="00F1728C" w:rsidRDefault="00087388" w:rsidP="11F50173">
      <w:pPr>
        <w:spacing w:after="120"/>
        <w:rPr>
          <w:b/>
          <w:bCs/>
          <w:sz w:val="24"/>
          <w:rFonts w:ascii="Times New Roman" w:hAnsi="Times New Roman" w:cs="Times New Roman"/>
        </w:rPr>
      </w:pPr>
      <w:r>
        <w:rPr>
          <w:b/>
          <w:sz w:val="24"/>
          <w:rFonts w:ascii="Times New Roman" w:hAnsi="Times New Roman"/>
        </w:rPr>
        <w:t xml:space="preserve">Veidne EU-CR9.1 – </w:t>
      </w:r>
      <w:r>
        <w:rPr>
          <w:b/>
          <w:sz w:val="24"/>
          <w:i/>
          <w:rFonts w:ascii="Times New Roman" w:hAnsi="Times New Roman"/>
        </w:rPr>
        <w:t xml:space="preserve">IRB</w:t>
      </w:r>
      <w:r>
        <w:rPr>
          <w:b/>
          <w:sz w:val="24"/>
          <w:rFonts w:ascii="Times New Roman" w:hAnsi="Times New Roman"/>
        </w:rPr>
        <w:t xml:space="preserve"> pieeja – </w:t>
      </w:r>
      <w:r>
        <w:rPr>
          <w:b/>
          <w:sz w:val="24"/>
          <w:i/>
          <w:rFonts w:ascii="Times New Roman" w:hAnsi="Times New Roman"/>
        </w:rPr>
        <w:t xml:space="preserve">PD</w:t>
      </w:r>
      <w:r>
        <w:rPr>
          <w:b/>
          <w:sz w:val="24"/>
          <w:rFonts w:ascii="Times New Roman" w:hAnsi="Times New Roman"/>
        </w:rPr>
        <w:t xml:space="preserve"> atpakaļejošā pārbaude par katru riska darījumu kategoriju (tikai par </w:t>
      </w:r>
      <w:r>
        <w:rPr>
          <w:b/>
          <w:sz w:val="24"/>
          <w:i/>
          <w:rFonts w:ascii="Times New Roman" w:hAnsi="Times New Roman"/>
        </w:rPr>
        <w:t xml:space="preserve">PD</w:t>
      </w:r>
      <w:r>
        <w:rPr>
          <w:b/>
          <w:sz w:val="24"/>
          <w:rFonts w:ascii="Times New Roman" w:hAnsi="Times New Roman"/>
        </w:rPr>
        <w:t xml:space="preserve"> aplēsēm saskaņā ar </w:t>
      </w:r>
      <w:r>
        <w:rPr>
          <w:b/>
          <w:sz w:val="24"/>
          <w:i/>
          <w:rFonts w:ascii="Times New Roman" w:hAnsi="Times New Roman"/>
        </w:rPr>
        <w:t xml:space="preserve">CRR</w:t>
      </w:r>
      <w:r>
        <w:rPr>
          <w:b/>
          <w:sz w:val="24"/>
          <w:rFonts w:ascii="Times New Roman" w:hAnsi="Times New Roman"/>
        </w:rPr>
        <w:t xml:space="preserve"> 180. panta 1. punkta f) apakšpunktu).</w:t>
      </w:r>
    </w:p>
    <w:p w14:paraId="23DE523C" w14:textId="77777777" w:rsidR="00087388" w:rsidRPr="00F1728C" w:rsidRDefault="00087388" w:rsidP="00087388">
      <w:pPr>
        <w:spacing w:after="120"/>
        <w:rPr>
          <w:rFonts w:ascii="Times New Roman" w:hAnsi="Times New Roman" w:cs="Times New Roman"/>
          <w:sz w:val="24"/>
        </w:rPr>
      </w:pPr>
    </w:p>
    <w:p w14:paraId="36D4065A" w14:textId="78237898" w:rsidR="00087388" w:rsidRPr="00F1728C" w:rsidRDefault="00087388" w:rsidP="11F50173">
      <w:pPr>
        <w:pStyle w:val="ListParagraph"/>
        <w:numPr>
          <w:ilvl w:val="0"/>
          <w:numId w:val="7"/>
        </w:numPr>
        <w:spacing w:after="120"/>
        <w:ind w:left="714" w:hanging="357"/>
        <w:jc w:val="both"/>
        <w:rPr>
          <w:sz w:val="24"/>
          <w:szCs w:val="24"/>
          <w:rFonts w:ascii="Times New Roman" w:hAnsi="Times New Roman"/>
        </w:rPr>
      </w:pPr>
      <w:r>
        <w:rPr>
          <w:sz w:val="24"/>
          <w:rFonts w:ascii="Times New Roman" w:hAnsi="Times New Roman"/>
        </w:rPr>
        <w:t xml:space="preserve">Papildus veidnei EU CR9 iestādes atklāj informāciju veidnē EU-CR9.1, ja tās piemēro Regulas (ES) Nr. 575/2013 180. panta 1. punkta f) apakšpunktu </w:t>
      </w:r>
      <w:r>
        <w:rPr>
          <w:sz w:val="24"/>
          <w:i/>
          <w:rFonts w:ascii="Times New Roman" w:hAnsi="Times New Roman"/>
        </w:rPr>
        <w:t xml:space="preserve">PD</w:t>
      </w:r>
      <w:r>
        <w:rPr>
          <w:sz w:val="24"/>
          <w:rFonts w:ascii="Times New Roman" w:hAnsi="Times New Roman"/>
        </w:rPr>
        <w:t xml:space="preserve"> aplēšanai, un tikai par </w:t>
      </w:r>
      <w:r>
        <w:rPr>
          <w:sz w:val="24"/>
          <w:i/>
          <w:rFonts w:ascii="Times New Roman" w:hAnsi="Times New Roman"/>
        </w:rPr>
        <w:t xml:space="preserve">PD</w:t>
      </w:r>
      <w:r>
        <w:rPr>
          <w:sz w:val="24"/>
          <w:rFonts w:ascii="Times New Roman" w:hAnsi="Times New Roman"/>
        </w:rPr>
        <w:t xml:space="preserve"> aplēsēm saskaņā ar minēto pantu.</w:t>
      </w:r>
      <w:r>
        <w:rPr>
          <w:sz w:val="24"/>
          <w:rFonts w:ascii="Times New Roman" w:hAnsi="Times New Roman"/>
        </w:rPr>
        <w:t xml:space="preserve"> </w:t>
      </w:r>
      <w:r>
        <w:rPr>
          <w:sz w:val="24"/>
          <w:rFonts w:ascii="Times New Roman" w:hAnsi="Times New Roman"/>
        </w:rPr>
        <w:t xml:space="preserve">Norādījumi ir tādi paši kā par veidni EU CR9, ievērojot šādus izņēmumus:</w:t>
      </w:r>
    </w:p>
    <w:p w14:paraId="6A14E435" w14:textId="77777777" w:rsidR="00087388" w:rsidRPr="00F1728C" w:rsidRDefault="00087388" w:rsidP="000A6489">
      <w:pPr>
        <w:pStyle w:val="ListParagraph"/>
        <w:numPr>
          <w:ilvl w:val="1"/>
          <w:numId w:val="7"/>
        </w:numPr>
        <w:spacing w:after="120"/>
        <w:jc w:val="both"/>
        <w:rPr>
          <w:sz w:val="24"/>
          <w:rFonts w:ascii="Times New Roman" w:hAnsi="Times New Roman"/>
        </w:rPr>
      </w:pPr>
      <w:r>
        <w:rPr>
          <w:sz w:val="24"/>
          <w:rFonts w:ascii="Times New Roman" w:hAnsi="Times New Roman"/>
        </w:rPr>
        <w:t xml:space="preserve">šīs veidnes b ailē iestādes atklāj </w:t>
      </w:r>
      <w:r>
        <w:rPr>
          <w:sz w:val="24"/>
          <w:i/>
          <w:rFonts w:ascii="Times New Roman" w:hAnsi="Times New Roman"/>
        </w:rPr>
        <w:t xml:space="preserve">PD</w:t>
      </w:r>
      <w:r>
        <w:rPr>
          <w:sz w:val="24"/>
          <w:rFonts w:ascii="Times New Roman" w:hAnsi="Times New Roman"/>
        </w:rPr>
        <w:t xml:space="preserve"> diapazonus atbilstoši to iekšējām pakāpēm, ko tās pielīdzina ĀKNI izmantotajai skalai, nevis fiksētam ārējam </w:t>
      </w:r>
      <w:r>
        <w:rPr>
          <w:sz w:val="24"/>
          <w:i/>
          <w:rFonts w:ascii="Times New Roman" w:hAnsi="Times New Roman"/>
        </w:rPr>
        <w:t xml:space="preserve">PD</w:t>
      </w:r>
      <w:r>
        <w:rPr>
          <w:sz w:val="24"/>
          <w:rFonts w:ascii="Times New Roman" w:hAnsi="Times New Roman"/>
        </w:rPr>
        <w:t xml:space="preserve"> diapazonam;</w:t>
      </w:r>
    </w:p>
    <w:p w14:paraId="281A45A2" w14:textId="3F3B919E" w:rsidR="00087388" w:rsidRPr="00F1728C" w:rsidRDefault="00087388" w:rsidP="000A6489">
      <w:pPr>
        <w:pStyle w:val="ListParagraph"/>
        <w:numPr>
          <w:ilvl w:val="1"/>
          <w:numId w:val="7"/>
        </w:numPr>
        <w:spacing w:after="120"/>
        <w:jc w:val="both"/>
        <w:rPr>
          <w:sz w:val="24"/>
          <w:szCs w:val="24"/>
          <w:rFonts w:ascii="Times New Roman" w:hAnsi="Times New Roman"/>
        </w:rPr>
      </w:pPr>
      <w:r>
        <w:rPr>
          <w:sz w:val="24"/>
          <w:rFonts w:ascii="Times New Roman" w:hAnsi="Times New Roman"/>
        </w:rPr>
        <w:t xml:space="preserve">iestādes uzrāda vienu aili katrai ĀKNI, kas ņemta vērā saskaņā ar Regulas (ES) Nr. 575/2013 180. panta 1. punktu.</w:t>
      </w:r>
      <w:r>
        <w:rPr>
          <w:sz w:val="24"/>
          <w:rFonts w:ascii="Times New Roman" w:hAnsi="Times New Roman"/>
        </w:rPr>
        <w:t xml:space="preserve"> </w:t>
      </w:r>
      <w:r>
        <w:rPr>
          <w:sz w:val="24"/>
          <w:rFonts w:ascii="Times New Roman" w:hAnsi="Times New Roman"/>
        </w:rPr>
        <w:t xml:space="preserve">Iestādes iekļauj šajās ailēs ārējo reitingu, kuram pielīdzināti to iekšējie </w:t>
      </w:r>
      <w:r>
        <w:rPr>
          <w:sz w:val="24"/>
          <w:i/>
          <w:rFonts w:ascii="Times New Roman" w:hAnsi="Times New Roman"/>
        </w:rPr>
        <w:t xml:space="preserve">PD</w:t>
      </w:r>
      <w:r>
        <w:rPr>
          <w:sz w:val="24"/>
          <w:rFonts w:ascii="Times New Roman" w:hAnsi="Times New Roman"/>
        </w:rPr>
        <w:t xml:space="preserve"> diapazoni.</w:t>
      </w:r>
      <w:r>
        <w:rPr>
          <w:rFonts w:ascii="Times New Roman" w:hAnsi="Times New Roman"/>
        </w:rPr>
        <w:tab/>
      </w:r>
    </w:p>
    <w:p w14:paraId="52E56223" w14:textId="77777777" w:rsidR="00087388" w:rsidRPr="000866EF" w:rsidRDefault="00087388" w:rsidP="000A6489">
      <w:pPr>
        <w:spacing w:after="120"/>
        <w:jc w:val="both"/>
        <w:rPr>
          <w:rFonts w:ascii="Times New Roman" w:hAnsi="Times New Roman" w:cs="Times New Roman"/>
          <w:sz w:val="24"/>
        </w:rPr>
      </w:pPr>
    </w:p>
    <w:p w14:paraId="07547A01" w14:textId="77777777" w:rsidR="00993FC2" w:rsidRPr="000866EF" w:rsidRDefault="00993FC2">
      <w:pPr>
        <w:rPr>
          <w:rFonts w:ascii="Times New Roman" w:hAnsi="Times New Roman" w:cs="Times New Roman"/>
        </w:rPr>
      </w:pPr>
    </w:p>
    <w:sectPr w:rsidR="00993FC2" w:rsidRPr="000866EF">
      <w:headerReference w:type="even" r:id="rId7"/>
      <w:headerReference w:type="default" r:id="rId8"/>
      <w:footerReference w:type="default" r:id="rId9"/>
      <w:headerReference w:type="firs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EC087B" w14:textId="77777777" w:rsidR="00035F15" w:rsidRDefault="00035F15" w:rsidP="00087388">
      <w:r>
        <w:separator/>
      </w:r>
    </w:p>
  </w:endnote>
  <w:endnote w:type="continuationSeparator" w:id="0">
    <w:p w14:paraId="2701890D" w14:textId="77777777" w:rsidR="00035F15" w:rsidRDefault="00035F15" w:rsidP="000873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33251796"/>
      <w:docPartObj>
        <w:docPartGallery w:val="Page Numbers (Bottom of Page)"/>
        <w:docPartUnique/>
      </w:docPartObj>
    </w:sdtPr>
    <w:sdtEndPr>
      <w:rPr>
        <w:noProof/>
      </w:rPr>
    </w:sdtEndPr>
    <w:sdtContent>
      <w:p w14:paraId="771FDAD2" w14:textId="77777777" w:rsidR="00725D4D" w:rsidRDefault="00725D4D">
        <w:pPr>
          <w:pStyle w:val="Footer"/>
          <w:jc w:val="right"/>
        </w:pPr>
        <w:r>
          <w:fldChar w:fldCharType="begin"/>
        </w:r>
        <w:r>
          <w:instrText xml:space="preserve"> PAGE   \* MERGEFORMAT </w:instrText>
        </w:r>
        <w:r>
          <w:fldChar w:fldCharType="separate"/>
        </w:r>
        <w:r w:rsidR="00CB5E48">
          <w:t>12</w:t>
        </w:r>
        <w:r>
          <w:fldChar w:fldCharType="end"/>
        </w:r>
      </w:p>
    </w:sdtContent>
  </w:sdt>
  <w:p w14:paraId="6537F28F" w14:textId="77777777" w:rsidR="00725D4D" w:rsidRDefault="00725D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41FFF5" w14:textId="77777777" w:rsidR="00035F15" w:rsidRDefault="00035F15" w:rsidP="00087388">
      <w:r>
        <w:separator/>
      </w:r>
    </w:p>
  </w:footnote>
  <w:footnote w:type="continuationSeparator" w:id="0">
    <w:p w14:paraId="38A059CD" w14:textId="77777777" w:rsidR="00035F15" w:rsidRDefault="00035F15" w:rsidP="00087388">
      <w:r>
        <w:continuationSeparator/>
      </w:r>
    </w:p>
  </w:footnote>
  <w:footnote w:id="1">
    <w:p w14:paraId="3798489D" w14:textId="36389973" w:rsidR="00725D4D" w:rsidRPr="00222AAB" w:rsidRDefault="00725D4D" w:rsidP="00087388">
      <w:pPr>
        <w:pStyle w:val="FootnoteText"/>
        <w:rPr>
          <w:rFonts w:cstheme="minorHAnsi"/>
        </w:rPr>
      </w:pPr>
      <w:r>
        <w:rPr>
          <w:rStyle w:val="FootnoteReference"/>
          <w:rFonts w:cstheme="minorHAnsi"/>
        </w:rPr>
        <w:footnoteRef/>
      </w:r>
      <w:r>
        <w:t xml:space="preserve"> </w:t>
      </w:r>
      <w:r>
        <w:tab/>
      </w:r>
      <w:r>
        <w:t xml:space="preserve">Eiropas Parlamenta un Padomes Regula (ES) Nr. 575/2013 (2013. gada 26. jūnijs) par prudenciālajām prasībām attiecībā uz kredītiestādēm, un ar ko groza Regulu (ES) Nr. 648/2012, kas grozīta ar Regulu (ES) 2024/1623 </w:t>
      </w:r>
      <w:r>
        <w:rPr>
          <w:color w:val="444444"/>
        </w:rPr>
        <w:t xml:space="preserve">(</w:t>
      </w:r>
      <w:hyperlink r:id="rId1" w:history="1">
        <w:r>
          <w:rPr>
            <w:rStyle w:val="Hyperlink"/>
            <w:color w:val="800080"/>
          </w:rPr>
          <w:t xml:space="preserve">OV L 176, 27.6.2013., 1. lpp.</w:t>
        </w:r>
      </w:hyperlink>
      <w:r>
        <w:rPr>
          <w:color w:val="800080"/>
          <w:u w:val="single"/>
        </w:rPr>
        <w:t xml:space="preserve">;</w:t>
      </w:r>
      <w:r>
        <w:rPr>
          <w:color w:val="800080"/>
          <w:u w:val="single"/>
        </w:rPr>
        <w:t xml:space="preserve"> </w:t>
      </w:r>
      <w:hyperlink r:id="rId2" w:history="1">
        <w:r>
          <w:rPr>
            <w:rStyle w:val="Hyperlink"/>
          </w:rPr>
          <w:t xml:space="preserve">Regula – ES – 2024/1623 – LV – EUR-Lex (europa.eu)</w:t>
        </w:r>
      </w:hyperlink>
      <w:r>
        <w:rPr>
          <w:color w:val="444444"/>
        </w:rPr>
        <w:t xml:space="preserve">)</w:t>
      </w:r>
      <w:r>
        <w:t xml:space="preserve">.</w:t>
      </w:r>
    </w:p>
  </w:footnote>
  <w:footnote w:id="2">
    <w:p w14:paraId="015156CF" w14:textId="77777777" w:rsidR="00725D4D" w:rsidRPr="00222AAB" w:rsidRDefault="00725D4D" w:rsidP="00087388">
      <w:pPr>
        <w:pStyle w:val="FootnoteText"/>
        <w:rPr>
          <w:rFonts w:cstheme="minorHAnsi"/>
        </w:rPr>
      </w:pPr>
      <w:r>
        <w:rPr>
          <w:rStyle w:val="FootnoteReference"/>
          <w:rFonts w:cstheme="minorHAnsi"/>
        </w:rPr>
        <w:footnoteRef/>
      </w:r>
      <w:r>
        <w:t xml:space="preserve"> </w:t>
      </w:r>
      <w:r>
        <w:tab/>
      </w:r>
      <w:r>
        <w:t xml:space="preserve">KOMISIJAS DELEĢĒTĀ REGULA (ES) Nr. 183/2014 (2013. gada 20. decembris), ar ko papildina Eiropas Parlamenta un Padomes Regulu (ES) Nr. 575/2013 par prudenciālajām prasībām attiecībā uz kredītiestādēm un ieguldījumu brokeru sabiedrībām saistībā ar regulatīvajiem tehniskajiem standartiem, ar ko precizē specifisko un vispārējo kredītriska korekciju aprēķināšanu (OV L 57, 27.2.2014., 3. lpp.).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A5D23" w14:textId="015013B9" w:rsidR="00725D4D" w:rsidRDefault="00AC467D">
    <w:pPr>
      <w:pStyle w:val="Header"/>
    </w:pPr>
    <w:r>
      <mc:AlternateContent>
        <mc:Choice Requires="wps">
          <w:drawing>
            <wp:anchor distT="0" distB="0" distL="0" distR="0" simplePos="0" relativeHeight="251659264" behindDoc="0" locked="0" layoutInCell="1" allowOverlap="1" wp14:anchorId="781149F0" wp14:editId="4D335EC3">
              <wp:simplePos x="635" y="635"/>
              <wp:positionH relativeFrom="page">
                <wp:align>left</wp:align>
              </wp:positionH>
              <wp:positionV relativeFrom="page">
                <wp:align>top</wp:align>
              </wp:positionV>
              <wp:extent cx="443865" cy="443865"/>
              <wp:effectExtent l="0" t="0" r="3175" b="9525"/>
              <wp:wrapNone/>
              <wp:docPr id="5" name="Text Box 5" descr="EBI oficiālai lietošanai">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106BA07" w14:textId="3A1B87BE" w:rsidR="00AC467D" w:rsidRPr="000A6489" w:rsidRDefault="00AC467D">
                          <w:pPr>
                            <w:rPr>
                              <w:noProof/>
                              <w:color w:val="000000"/>
                              <w:sz w:val="24"/>
                              <w:rFonts w:ascii="Calibri" w:eastAsia="Calibri" w:hAnsi="Calibri" w:cs="Calibri"/>
                            </w:rPr>
                          </w:pPr>
                          <w:r>
                            <w:rPr>
                              <w:color w:val="000000"/>
                              <w:sz w:val="24"/>
                              <w:rFonts w:ascii="Calibri" w:hAnsi="Calibri"/>
                            </w:rPr>
                            <w:t xml:space="preserve">EBI oficiālai lietošanai</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781149F0" id="_x0000_t202" coordsize="21600,21600" o:spt="202" path="m,l,21600r21600,l21600,xe">
              <v:stroke joinstyle="miter"/>
              <v:path gradientshapeok="t" o:connecttype="rect"/>
            </v:shapetype>
            <v:shape id="Text Box 5" o:spid="_x0000_s1026" type="#_x0000_t202" alt="Title:  - Description: EBI oficiālai lietošanai" style="position:absolute;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4106BA07" w14:textId="3A1B87BE" w:rsidR="00AC467D" w:rsidRPr="000A6489" w:rsidRDefault="00AC467D">
                    <w:pPr>
                      <w:rPr>
                        <w:noProof/>
                        <w:color w:val="000000"/>
                        <w:sz w:val="24"/>
                        <w:rFonts w:ascii="Calibri" w:eastAsia="Calibri" w:hAnsi="Calibri" w:cs="Calibri"/>
                      </w:rPr>
                    </w:pPr>
                    <w:r>
                      <w:rPr>
                        <w:color w:val="000000"/>
                        <w:sz w:val="24"/>
                        <w:rFonts w:ascii="Calibri" w:hAnsi="Calibri"/>
                      </w:rPr>
                      <w:t xml:space="preserve">EBI oficiālai lietošanai</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F9E56" w14:textId="422A70D1" w:rsidR="00725D4D" w:rsidRDefault="00AC467D">
    <w:pPr>
      <w:pStyle w:val="Header"/>
    </w:pPr>
    <w:r>
      <mc:AlternateContent>
        <mc:Choice Requires="wps">
          <w:drawing>
            <wp:anchor distT="0" distB="0" distL="0" distR="0" simplePos="0" relativeHeight="251660288" behindDoc="0" locked="0" layoutInCell="1" allowOverlap="1" wp14:anchorId="5A3D7B59" wp14:editId="7136E008">
              <wp:simplePos x="635" y="635"/>
              <wp:positionH relativeFrom="page">
                <wp:align>left</wp:align>
              </wp:positionH>
              <wp:positionV relativeFrom="page">
                <wp:align>top</wp:align>
              </wp:positionV>
              <wp:extent cx="443865" cy="443865"/>
              <wp:effectExtent l="0" t="0" r="3175" b="9525"/>
              <wp:wrapNone/>
              <wp:docPr id="6" name="Text Box 6" descr="EBI oficiālai lietošanai">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CD9497A" w14:textId="16E4C4AF" w:rsidR="00AC467D" w:rsidRPr="000A6489" w:rsidRDefault="00AC467D">
                          <w:pPr>
                            <w:rPr>
                              <w:noProof/>
                              <w:color w:val="000000"/>
                              <w:sz w:val="24"/>
                              <w:rFonts w:ascii="Calibri" w:eastAsia="Calibri" w:hAnsi="Calibri" w:cs="Calibri"/>
                            </w:rPr>
                          </w:pPr>
                          <w:r>
                            <w:rPr>
                              <w:color w:val="000000"/>
                              <w:sz w:val="24"/>
                              <w:rFonts w:ascii="Calibri" w:hAnsi="Calibri"/>
                            </w:rPr>
                            <w:t xml:space="preserve">EBI oficiālai lietošanai</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5A3D7B59" id="_x0000_t202" coordsize="21600,21600" o:spt="202" path="m,l,21600r21600,l21600,xe">
              <v:stroke joinstyle="miter"/>
              <v:path gradientshapeok="t" o:connecttype="rect"/>
            </v:shapetype>
            <v:shape id="Text Box 6" o:spid="_x0000_s1027" type="#_x0000_t202" alt="Title:  - Description: EBI oficiālai lietošanai" style="position:absolute;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5CD9497A" w14:textId="16E4C4AF" w:rsidR="00AC467D" w:rsidRPr="000A6489" w:rsidRDefault="00AC467D">
                    <w:pPr>
                      <w:rPr>
                        <w:noProof/>
                        <w:color w:val="000000"/>
                        <w:sz w:val="24"/>
                        <w:rFonts w:ascii="Calibri" w:eastAsia="Calibri" w:hAnsi="Calibri" w:cs="Calibri"/>
                      </w:rPr>
                    </w:pPr>
                    <w:r>
                      <w:rPr>
                        <w:color w:val="000000"/>
                        <w:sz w:val="24"/>
                        <w:rFonts w:ascii="Calibri" w:hAnsi="Calibri"/>
                      </w:rPr>
                      <w:t xml:space="preserve">EBI oficiālai lietošanai</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F29E8" w14:textId="790BC35E" w:rsidR="00725D4D" w:rsidRDefault="00AC467D">
    <w:pPr>
      <w:pStyle w:val="Header"/>
    </w:pPr>
    <w:r>
      <mc:AlternateContent>
        <mc:Choice Requires="wps">
          <w:drawing>
            <wp:anchor distT="0" distB="0" distL="0" distR="0" simplePos="0" relativeHeight="251658240" behindDoc="0" locked="0" layoutInCell="1" allowOverlap="1" wp14:anchorId="5352EC3A" wp14:editId="695AACA3">
              <wp:simplePos x="635" y="635"/>
              <wp:positionH relativeFrom="page">
                <wp:align>left</wp:align>
              </wp:positionH>
              <wp:positionV relativeFrom="page">
                <wp:align>top</wp:align>
              </wp:positionV>
              <wp:extent cx="443865" cy="443865"/>
              <wp:effectExtent l="0" t="0" r="3175" b="9525"/>
              <wp:wrapNone/>
              <wp:docPr id="4" name="Text Box 4" descr="EBI oficiālai lietošanai">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D32262D" w14:textId="67EF7B50" w:rsidR="00AC467D" w:rsidRPr="000A6489" w:rsidRDefault="00AC467D">
                          <w:pPr>
                            <w:rPr>
                              <w:noProof/>
                              <w:color w:val="000000"/>
                              <w:sz w:val="24"/>
                              <w:rFonts w:ascii="Calibri" w:eastAsia="Calibri" w:hAnsi="Calibri" w:cs="Calibri"/>
                            </w:rPr>
                          </w:pPr>
                          <w:r>
                            <w:rPr>
                              <w:color w:val="000000"/>
                              <w:sz w:val="24"/>
                              <w:rFonts w:ascii="Calibri" w:hAnsi="Calibri"/>
                            </w:rPr>
                            <w:t xml:space="preserve">EBI oficiālai lietošanai</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5352EC3A" id="_x0000_t202" coordsize="21600,21600" o:spt="202" path="m,l,21600r21600,l21600,xe">
              <v:stroke joinstyle="miter"/>
              <v:path gradientshapeok="t" o:connecttype="rect"/>
            </v:shapetype>
            <v:shape id="Text Box 4" o:spid="_x0000_s1028" type="#_x0000_t202" alt="Title:  - Description: EBI oficiālai lietošanai"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5D32262D" w14:textId="67EF7B50" w:rsidR="00AC467D" w:rsidRPr="000A6489" w:rsidRDefault="00AC467D">
                    <w:pPr>
                      <w:rPr>
                        <w:noProof/>
                        <w:color w:val="000000"/>
                        <w:sz w:val="24"/>
                        <w:rFonts w:ascii="Calibri" w:eastAsia="Calibri" w:hAnsi="Calibri" w:cs="Calibri"/>
                      </w:rPr>
                    </w:pPr>
                    <w:r>
                      <w:rPr>
                        <w:color w:val="000000"/>
                        <w:sz w:val="24"/>
                        <w:rFonts w:ascii="Calibri" w:hAnsi="Calibri"/>
                      </w:rPr>
                      <w:t xml:space="preserve">EBI oficiālai lietošanai</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E416A"/>
    <w:multiLevelType w:val="hybridMultilevel"/>
    <w:tmpl w:val="750E144E"/>
    <w:lvl w:ilvl="0" w:tplc="D5B046CC">
      <w:start w:val="1"/>
      <w:numFmt w:val="lowerLetter"/>
      <w:lvlText w:val="%1."/>
      <w:lvlJc w:val="left"/>
      <w:pPr>
        <w:ind w:left="720" w:hanging="360"/>
      </w:pPr>
      <w:rPr>
        <w:rFonts w:eastAsia="Times New Roman"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6974E21"/>
    <w:multiLevelType w:val="hybridMultilevel"/>
    <w:tmpl w:val="1684404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5901E9F"/>
    <w:multiLevelType w:val="hybridMultilevel"/>
    <w:tmpl w:val="9F8896A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78C3FF8"/>
    <w:multiLevelType w:val="hybridMultilevel"/>
    <w:tmpl w:val="1684404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57DD727D"/>
    <w:multiLevelType w:val="hybridMultilevel"/>
    <w:tmpl w:val="A352F802"/>
    <w:lvl w:ilvl="0" w:tplc="42DA021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A1B56EB"/>
    <w:multiLevelType w:val="hybridMultilevel"/>
    <w:tmpl w:val="84B82DAE"/>
    <w:lvl w:ilvl="0" w:tplc="58B80B0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86937967">
    <w:abstractNumId w:val="4"/>
  </w:num>
  <w:num w:numId="2" w16cid:durableId="1864708907">
    <w:abstractNumId w:val="1"/>
  </w:num>
  <w:num w:numId="3" w16cid:durableId="952058232">
    <w:abstractNumId w:val="6"/>
  </w:num>
  <w:num w:numId="4" w16cid:durableId="1799913301">
    <w:abstractNumId w:val="5"/>
  </w:num>
  <w:num w:numId="5" w16cid:durableId="1907107170">
    <w:abstractNumId w:val="0"/>
  </w:num>
  <w:num w:numId="6" w16cid:durableId="1180508280">
    <w:abstractNumId w:val="2"/>
  </w:num>
  <w:num w:numId="7" w16cid:durableId="10250553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hyphenationZone w:val="283"/>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907E95"/>
    <w:rsid w:val="000216B0"/>
    <w:rsid w:val="000264F8"/>
    <w:rsid w:val="00035F15"/>
    <w:rsid w:val="00041B15"/>
    <w:rsid w:val="00046915"/>
    <w:rsid w:val="00073D5C"/>
    <w:rsid w:val="00082617"/>
    <w:rsid w:val="000866EF"/>
    <w:rsid w:val="00087388"/>
    <w:rsid w:val="000A6489"/>
    <w:rsid w:val="000D5E29"/>
    <w:rsid w:val="00105ED8"/>
    <w:rsid w:val="00121ACC"/>
    <w:rsid w:val="001505CE"/>
    <w:rsid w:val="00170359"/>
    <w:rsid w:val="00173E93"/>
    <w:rsid w:val="001903B7"/>
    <w:rsid w:val="00191A3A"/>
    <w:rsid w:val="001C2C33"/>
    <w:rsid w:val="001E1AE0"/>
    <w:rsid w:val="001F0F62"/>
    <w:rsid w:val="00211D86"/>
    <w:rsid w:val="00213305"/>
    <w:rsid w:val="002827AE"/>
    <w:rsid w:val="002947D0"/>
    <w:rsid w:val="002C7F1A"/>
    <w:rsid w:val="002D32E2"/>
    <w:rsid w:val="002F5D79"/>
    <w:rsid w:val="00323F0F"/>
    <w:rsid w:val="00324DA2"/>
    <w:rsid w:val="00334489"/>
    <w:rsid w:val="00340D58"/>
    <w:rsid w:val="00344A92"/>
    <w:rsid w:val="003461F9"/>
    <w:rsid w:val="00396912"/>
    <w:rsid w:val="003B7D6C"/>
    <w:rsid w:val="003C0B15"/>
    <w:rsid w:val="003D041E"/>
    <w:rsid w:val="003D3003"/>
    <w:rsid w:val="003D3A7A"/>
    <w:rsid w:val="004077C4"/>
    <w:rsid w:val="0041521E"/>
    <w:rsid w:val="0045375A"/>
    <w:rsid w:val="00457546"/>
    <w:rsid w:val="00460EC5"/>
    <w:rsid w:val="00465A3E"/>
    <w:rsid w:val="00466600"/>
    <w:rsid w:val="004A4BAF"/>
    <w:rsid w:val="004B6843"/>
    <w:rsid w:val="004C0BB2"/>
    <w:rsid w:val="004E2633"/>
    <w:rsid w:val="00504A90"/>
    <w:rsid w:val="005906DA"/>
    <w:rsid w:val="005A25BA"/>
    <w:rsid w:val="005A7F65"/>
    <w:rsid w:val="005B3DED"/>
    <w:rsid w:val="005C42F4"/>
    <w:rsid w:val="006570F0"/>
    <w:rsid w:val="006624F7"/>
    <w:rsid w:val="00671381"/>
    <w:rsid w:val="00681803"/>
    <w:rsid w:val="006A55A0"/>
    <w:rsid w:val="006C6639"/>
    <w:rsid w:val="006F5EDB"/>
    <w:rsid w:val="0070051C"/>
    <w:rsid w:val="007025DE"/>
    <w:rsid w:val="007028BF"/>
    <w:rsid w:val="00725D4D"/>
    <w:rsid w:val="007727B8"/>
    <w:rsid w:val="00772834"/>
    <w:rsid w:val="00773162"/>
    <w:rsid w:val="00781C99"/>
    <w:rsid w:val="0079524B"/>
    <w:rsid w:val="00815EA9"/>
    <w:rsid w:val="00830513"/>
    <w:rsid w:val="008309A6"/>
    <w:rsid w:val="008435EF"/>
    <w:rsid w:val="0086499D"/>
    <w:rsid w:val="00877F46"/>
    <w:rsid w:val="00883E52"/>
    <w:rsid w:val="008972DE"/>
    <w:rsid w:val="008B0E01"/>
    <w:rsid w:val="008F68A5"/>
    <w:rsid w:val="00907E95"/>
    <w:rsid w:val="009248C4"/>
    <w:rsid w:val="00942C4C"/>
    <w:rsid w:val="009610E4"/>
    <w:rsid w:val="00993FC2"/>
    <w:rsid w:val="009A30F2"/>
    <w:rsid w:val="009C2B0F"/>
    <w:rsid w:val="00A11C69"/>
    <w:rsid w:val="00A44186"/>
    <w:rsid w:val="00A70408"/>
    <w:rsid w:val="00A75907"/>
    <w:rsid w:val="00AA3ADE"/>
    <w:rsid w:val="00AC467D"/>
    <w:rsid w:val="00AC695F"/>
    <w:rsid w:val="00AD39F9"/>
    <w:rsid w:val="00AE716E"/>
    <w:rsid w:val="00AF31ED"/>
    <w:rsid w:val="00B0207B"/>
    <w:rsid w:val="00B04B66"/>
    <w:rsid w:val="00B21689"/>
    <w:rsid w:val="00B77F1A"/>
    <w:rsid w:val="00B91174"/>
    <w:rsid w:val="00BA4DB9"/>
    <w:rsid w:val="00BC16FE"/>
    <w:rsid w:val="00BD2207"/>
    <w:rsid w:val="00BE3252"/>
    <w:rsid w:val="00BE7E3C"/>
    <w:rsid w:val="00C51804"/>
    <w:rsid w:val="00C601AF"/>
    <w:rsid w:val="00C96694"/>
    <w:rsid w:val="00CB5E48"/>
    <w:rsid w:val="00CF0490"/>
    <w:rsid w:val="00CF530D"/>
    <w:rsid w:val="00D133BE"/>
    <w:rsid w:val="00D1583E"/>
    <w:rsid w:val="00D453C7"/>
    <w:rsid w:val="00D67408"/>
    <w:rsid w:val="00D8212C"/>
    <w:rsid w:val="00D9503E"/>
    <w:rsid w:val="00DA7593"/>
    <w:rsid w:val="00DF2BFC"/>
    <w:rsid w:val="00E42A78"/>
    <w:rsid w:val="00E60EAB"/>
    <w:rsid w:val="00E643F5"/>
    <w:rsid w:val="00E65AFD"/>
    <w:rsid w:val="00E91213"/>
    <w:rsid w:val="00EA36B5"/>
    <w:rsid w:val="00EE4075"/>
    <w:rsid w:val="00EF5AE5"/>
    <w:rsid w:val="00F1728C"/>
    <w:rsid w:val="00F17498"/>
    <w:rsid w:val="00F34968"/>
    <w:rsid w:val="00F611FA"/>
    <w:rsid w:val="00F61C5E"/>
    <w:rsid w:val="00FA32EC"/>
    <w:rsid w:val="00FB2317"/>
    <w:rsid w:val="00FB4943"/>
    <w:rsid w:val="00FB7E66"/>
    <w:rsid w:val="00FD4C27"/>
    <w:rsid w:val="00FF6446"/>
    <w:rsid w:val="01E07012"/>
    <w:rsid w:val="01E22573"/>
    <w:rsid w:val="039D9E2F"/>
    <w:rsid w:val="0409142A"/>
    <w:rsid w:val="048F7B4D"/>
    <w:rsid w:val="04EF5B76"/>
    <w:rsid w:val="056350A1"/>
    <w:rsid w:val="05B5D563"/>
    <w:rsid w:val="05F88996"/>
    <w:rsid w:val="060B7D3D"/>
    <w:rsid w:val="062B4BAE"/>
    <w:rsid w:val="06ADA2FA"/>
    <w:rsid w:val="06E41ABE"/>
    <w:rsid w:val="07244706"/>
    <w:rsid w:val="074E3790"/>
    <w:rsid w:val="07C0A35D"/>
    <w:rsid w:val="07C71C0F"/>
    <w:rsid w:val="07DB32AB"/>
    <w:rsid w:val="087C5245"/>
    <w:rsid w:val="08D19949"/>
    <w:rsid w:val="0A691290"/>
    <w:rsid w:val="0A8E6DFA"/>
    <w:rsid w:val="0ABC4DFB"/>
    <w:rsid w:val="0ADD8936"/>
    <w:rsid w:val="0AE25B11"/>
    <w:rsid w:val="0B99AB12"/>
    <w:rsid w:val="0C1A63C2"/>
    <w:rsid w:val="0D097E21"/>
    <w:rsid w:val="0D7527C8"/>
    <w:rsid w:val="0E1421B1"/>
    <w:rsid w:val="0E3B3111"/>
    <w:rsid w:val="0F30C380"/>
    <w:rsid w:val="0F50BC7C"/>
    <w:rsid w:val="0F62C19C"/>
    <w:rsid w:val="0F84696C"/>
    <w:rsid w:val="0F9A0CFF"/>
    <w:rsid w:val="0FA455F3"/>
    <w:rsid w:val="0FE668BB"/>
    <w:rsid w:val="11662E4E"/>
    <w:rsid w:val="1184944D"/>
    <w:rsid w:val="11893323"/>
    <w:rsid w:val="11E6B68F"/>
    <w:rsid w:val="11F50173"/>
    <w:rsid w:val="1304E120"/>
    <w:rsid w:val="13C002D5"/>
    <w:rsid w:val="13C4C52A"/>
    <w:rsid w:val="1410CA7F"/>
    <w:rsid w:val="1479651A"/>
    <w:rsid w:val="14D6B8AA"/>
    <w:rsid w:val="153DCBCA"/>
    <w:rsid w:val="157A8ADA"/>
    <w:rsid w:val="15ABDE9F"/>
    <w:rsid w:val="17AC3257"/>
    <w:rsid w:val="17FFBDB4"/>
    <w:rsid w:val="18A5F5DC"/>
    <w:rsid w:val="193972B6"/>
    <w:rsid w:val="196BDD92"/>
    <w:rsid w:val="1AF7C2A5"/>
    <w:rsid w:val="1BE64092"/>
    <w:rsid w:val="1C557E1F"/>
    <w:rsid w:val="1C9D58EC"/>
    <w:rsid w:val="1CE3E29F"/>
    <w:rsid w:val="1D300C07"/>
    <w:rsid w:val="1D6594FD"/>
    <w:rsid w:val="1D8265C9"/>
    <w:rsid w:val="1D85DE87"/>
    <w:rsid w:val="1E7720FF"/>
    <w:rsid w:val="1EA0CFDA"/>
    <w:rsid w:val="1F40E170"/>
    <w:rsid w:val="1F4C85CD"/>
    <w:rsid w:val="1F819E39"/>
    <w:rsid w:val="1F82FB53"/>
    <w:rsid w:val="1FAA6F07"/>
    <w:rsid w:val="1FEDE3F1"/>
    <w:rsid w:val="1FFE3DD3"/>
    <w:rsid w:val="2009D430"/>
    <w:rsid w:val="204AC18A"/>
    <w:rsid w:val="211D6E9A"/>
    <w:rsid w:val="21417640"/>
    <w:rsid w:val="214DE7D0"/>
    <w:rsid w:val="22C2FE35"/>
    <w:rsid w:val="236939EF"/>
    <w:rsid w:val="23E8FC2D"/>
    <w:rsid w:val="24974B0C"/>
    <w:rsid w:val="2535CE4A"/>
    <w:rsid w:val="257D351A"/>
    <w:rsid w:val="25E0A215"/>
    <w:rsid w:val="261723E8"/>
    <w:rsid w:val="26569B1D"/>
    <w:rsid w:val="26ECBAF7"/>
    <w:rsid w:val="2757CF03"/>
    <w:rsid w:val="2757FABC"/>
    <w:rsid w:val="277F0E61"/>
    <w:rsid w:val="27E51FAC"/>
    <w:rsid w:val="28CF3790"/>
    <w:rsid w:val="29A898CF"/>
    <w:rsid w:val="29B8A8F6"/>
    <w:rsid w:val="29F58C32"/>
    <w:rsid w:val="2B446930"/>
    <w:rsid w:val="2D625EBB"/>
    <w:rsid w:val="2DD39342"/>
    <w:rsid w:val="2E0074F8"/>
    <w:rsid w:val="2E9BB13E"/>
    <w:rsid w:val="2ECFE832"/>
    <w:rsid w:val="2F5427E3"/>
    <w:rsid w:val="2F7E26C6"/>
    <w:rsid w:val="2FAF3E27"/>
    <w:rsid w:val="2FF41FCE"/>
    <w:rsid w:val="300258E8"/>
    <w:rsid w:val="3017DA53"/>
    <w:rsid w:val="30C14FDF"/>
    <w:rsid w:val="3192D10B"/>
    <w:rsid w:val="31B42647"/>
    <w:rsid w:val="320ABE27"/>
    <w:rsid w:val="32891B46"/>
    <w:rsid w:val="32B88E85"/>
    <w:rsid w:val="32D7504B"/>
    <w:rsid w:val="334A0E0A"/>
    <w:rsid w:val="33B04F4B"/>
    <w:rsid w:val="34EB4B76"/>
    <w:rsid w:val="3555CB60"/>
    <w:rsid w:val="362FF260"/>
    <w:rsid w:val="37105C64"/>
    <w:rsid w:val="37AAC16E"/>
    <w:rsid w:val="381D7F2D"/>
    <w:rsid w:val="38224CDE"/>
    <w:rsid w:val="38DF346D"/>
    <w:rsid w:val="3AE78C00"/>
    <w:rsid w:val="3C235715"/>
    <w:rsid w:val="3C7CCCCB"/>
    <w:rsid w:val="3D4AE653"/>
    <w:rsid w:val="3E6C2267"/>
    <w:rsid w:val="3E6E3418"/>
    <w:rsid w:val="41344B90"/>
    <w:rsid w:val="416211ED"/>
    <w:rsid w:val="41D1BC04"/>
    <w:rsid w:val="4292A978"/>
    <w:rsid w:val="42C490E3"/>
    <w:rsid w:val="42E06FA9"/>
    <w:rsid w:val="436D8C65"/>
    <w:rsid w:val="43BF1931"/>
    <w:rsid w:val="43F9BA51"/>
    <w:rsid w:val="45049459"/>
    <w:rsid w:val="45667E6E"/>
    <w:rsid w:val="459E52A8"/>
    <w:rsid w:val="45B4541F"/>
    <w:rsid w:val="4620C78F"/>
    <w:rsid w:val="4632B3EA"/>
    <w:rsid w:val="467F71EB"/>
    <w:rsid w:val="468E2F7C"/>
    <w:rsid w:val="46A52D27"/>
    <w:rsid w:val="46B55BA9"/>
    <w:rsid w:val="470430CD"/>
    <w:rsid w:val="48055C6A"/>
    <w:rsid w:val="48260BBB"/>
    <w:rsid w:val="4892AD13"/>
    <w:rsid w:val="48B117E9"/>
    <w:rsid w:val="48B680CC"/>
    <w:rsid w:val="490767EF"/>
    <w:rsid w:val="49D760DE"/>
    <w:rsid w:val="4A2D40E2"/>
    <w:rsid w:val="4A73DF7B"/>
    <w:rsid w:val="4B004263"/>
    <w:rsid w:val="4BEAE52E"/>
    <w:rsid w:val="4C831B84"/>
    <w:rsid w:val="4CFC165E"/>
    <w:rsid w:val="4CFF8588"/>
    <w:rsid w:val="4D757E90"/>
    <w:rsid w:val="4D7D683A"/>
    <w:rsid w:val="4E1EEBE5"/>
    <w:rsid w:val="4E37D5A2"/>
    <w:rsid w:val="4F06522B"/>
    <w:rsid w:val="5023F59C"/>
    <w:rsid w:val="503556C3"/>
    <w:rsid w:val="5039F599"/>
    <w:rsid w:val="5080E030"/>
    <w:rsid w:val="510857A2"/>
    <w:rsid w:val="519ED1A5"/>
    <w:rsid w:val="51BA451F"/>
    <w:rsid w:val="528E3ED4"/>
    <w:rsid w:val="531DB6C9"/>
    <w:rsid w:val="534D232A"/>
    <w:rsid w:val="538234C5"/>
    <w:rsid w:val="53DC14F4"/>
    <w:rsid w:val="53E0B5EA"/>
    <w:rsid w:val="54BC71CC"/>
    <w:rsid w:val="55681416"/>
    <w:rsid w:val="57B8EDA8"/>
    <w:rsid w:val="5869864C"/>
    <w:rsid w:val="588C0880"/>
    <w:rsid w:val="590D3733"/>
    <w:rsid w:val="595736E5"/>
    <w:rsid w:val="5A1A0155"/>
    <w:rsid w:val="5A503884"/>
    <w:rsid w:val="5A6CEFB3"/>
    <w:rsid w:val="5A844CD2"/>
    <w:rsid w:val="5B43E540"/>
    <w:rsid w:val="5B7599B7"/>
    <w:rsid w:val="5C74AED3"/>
    <w:rsid w:val="5C8F896D"/>
    <w:rsid w:val="5CA24DE0"/>
    <w:rsid w:val="5DF16AFE"/>
    <w:rsid w:val="5E12F922"/>
    <w:rsid w:val="5E7B57EC"/>
    <w:rsid w:val="5ED85F16"/>
    <w:rsid w:val="5EF43ED2"/>
    <w:rsid w:val="5F23DBB4"/>
    <w:rsid w:val="605D45A1"/>
    <w:rsid w:val="605F258B"/>
    <w:rsid w:val="60A2E74A"/>
    <w:rsid w:val="60FDE7BB"/>
    <w:rsid w:val="62A910F6"/>
    <w:rsid w:val="634CAC52"/>
    <w:rsid w:val="63E31B68"/>
    <w:rsid w:val="63FAEF59"/>
    <w:rsid w:val="64580162"/>
    <w:rsid w:val="64D519C4"/>
    <w:rsid w:val="6530B6C4"/>
    <w:rsid w:val="668A04DD"/>
    <w:rsid w:val="66A0597D"/>
    <w:rsid w:val="66EF7868"/>
    <w:rsid w:val="6798A7E0"/>
    <w:rsid w:val="67BC7593"/>
    <w:rsid w:val="684F2F29"/>
    <w:rsid w:val="68685786"/>
    <w:rsid w:val="69076E25"/>
    <w:rsid w:val="694273F8"/>
    <w:rsid w:val="694C49CE"/>
    <w:rsid w:val="69CE0321"/>
    <w:rsid w:val="69DADBB3"/>
    <w:rsid w:val="69F9DE0A"/>
    <w:rsid w:val="6AE3B013"/>
    <w:rsid w:val="6B177AA6"/>
    <w:rsid w:val="6B8E7939"/>
    <w:rsid w:val="6C5609F9"/>
    <w:rsid w:val="6CC9BCD8"/>
    <w:rsid w:val="6CFFA6B5"/>
    <w:rsid w:val="6E81BF1D"/>
    <w:rsid w:val="6EBE70AD"/>
    <w:rsid w:val="6F1A509C"/>
    <w:rsid w:val="718D11A1"/>
    <w:rsid w:val="725D067B"/>
    <w:rsid w:val="7384B789"/>
    <w:rsid w:val="740CC0CE"/>
    <w:rsid w:val="750DF733"/>
    <w:rsid w:val="75447717"/>
    <w:rsid w:val="75755B71"/>
    <w:rsid w:val="75A11F99"/>
    <w:rsid w:val="761527E3"/>
    <w:rsid w:val="76827537"/>
    <w:rsid w:val="77BD4585"/>
    <w:rsid w:val="780ED489"/>
    <w:rsid w:val="78EA7AB4"/>
    <w:rsid w:val="78FE0620"/>
    <w:rsid w:val="79D1170E"/>
    <w:rsid w:val="7A47563F"/>
    <w:rsid w:val="7A6EC9F3"/>
    <w:rsid w:val="7A8ACEDB"/>
    <w:rsid w:val="7B9C4976"/>
    <w:rsid w:val="7B9F617E"/>
    <w:rsid w:val="7BE9416F"/>
    <w:rsid w:val="7C297BB8"/>
    <w:rsid w:val="7C864A0F"/>
    <w:rsid w:val="7CE98FDB"/>
    <w:rsid w:val="7D4DAAEF"/>
    <w:rsid w:val="7E30684A"/>
    <w:rsid w:val="7E7B1D6B"/>
    <w:rsid w:val="7E9EF865"/>
    <w:rsid w:val="7F92479E"/>
    <w:rsid w:val="7FEC183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2858F2C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7388"/>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Professional"/>
    <w:uiPriority w:val="59"/>
    <w:rsid w:val="00087388"/>
    <w:rPr>
      <w:rFonts w:eastAsiaTheme="minorEastAsia"/>
      <w:sz w:val="20"/>
      <w:szCs w:val="20"/>
      <w:lang w:val="lv-LV"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paragraph" w:styleId="FootnoteText">
    <w:name w:val="footnote text"/>
    <w:basedOn w:val="Normal"/>
    <w:link w:val="FootnoteTextChar"/>
    <w:autoRedefine/>
    <w:qFormat/>
    <w:rsid w:val="00087388"/>
    <w:pPr>
      <w:spacing w:before="80" w:line="200" w:lineRule="exact"/>
      <w:ind w:left="567" w:hanging="567"/>
      <w:jc w:val="both"/>
    </w:pPr>
    <w:rPr>
      <w:sz w:val="18"/>
      <w:szCs w:val="18"/>
      <w:lang w:val="lv-LV"/>
    </w:rPr>
  </w:style>
  <w:style w:type="character" w:customStyle="1" w:styleId="FootnoteTextChar">
    <w:name w:val="Footnote Text Char"/>
    <w:basedOn w:val="DefaultParagraphFont"/>
    <w:link w:val="FootnoteText"/>
    <w:rsid w:val="00087388"/>
    <w:rPr>
      <w:rFonts w:eastAsiaTheme="minorEastAsia"/>
      <w:sz w:val="18"/>
      <w:szCs w:val="18"/>
      <w:lang w:val="lv-LV"/>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087388"/>
    <w:rPr>
      <w:rFonts w:asciiTheme="minorHAnsi" w:hAnsiTheme="minorHAnsi"/>
      <w:sz w:val="22"/>
      <w:szCs w:val="18"/>
      <w:vertAlign w:val="superscript"/>
    </w:rPr>
  </w:style>
  <w:style w:type="character" w:styleId="Hyperlink">
    <w:name w:val="Hyperlink"/>
    <w:basedOn w:val="DefaultParagraphFont"/>
    <w:uiPriority w:val="99"/>
    <w:rsid w:val="00087388"/>
    <w:rPr>
      <w:color w:val="0563C1" w:themeColor="hyperlink"/>
      <w:u w:val="single"/>
    </w:rPr>
  </w:style>
  <w:style w:type="paragraph" w:customStyle="1" w:styleId="Default">
    <w:name w:val="Default"/>
    <w:rsid w:val="00087388"/>
    <w:pPr>
      <w:autoSpaceDE w:val="0"/>
      <w:autoSpaceDN w:val="0"/>
      <w:adjustRightInd w:val="0"/>
      <w:spacing w:after="0" w:line="240" w:lineRule="auto"/>
    </w:pPr>
    <w:rPr>
      <w:rFonts w:ascii="Calibri" w:hAnsi="Calibri" w:cs="Calibri"/>
      <w:color w:val="000000"/>
      <w:sz w:val="24"/>
      <w:szCs w:val="24"/>
    </w:rPr>
  </w:style>
  <w:style w:type="paragraph" w:customStyle="1" w:styleId="Annexetitre">
    <w:name w:val="Annexe titre"/>
    <w:basedOn w:val="Normal"/>
    <w:next w:val="Normal"/>
    <w:rsid w:val="00087388"/>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087388"/>
    <w:pPr>
      <w:spacing w:before="480" w:after="120"/>
      <w:jc w:val="both"/>
    </w:pPr>
    <w:rPr>
      <w:rFonts w:ascii="Times New Roman" w:eastAsia="Times New Roman" w:hAnsi="Times New Roman" w:cs="Times New Roman"/>
      <w:sz w:val="24"/>
    </w:rPr>
  </w:style>
  <w:style w:type="paragraph" w:customStyle="1" w:styleId="Fait">
    <w:name w:val="Fait à"/>
    <w:basedOn w:val="Normal"/>
    <w:next w:val="Normal"/>
    <w:rsid w:val="00087388"/>
    <w:pPr>
      <w:keepNext/>
      <w:spacing w:before="120"/>
      <w:jc w:val="both"/>
    </w:pPr>
    <w:rPr>
      <w:rFonts w:ascii="Times New Roman" w:eastAsia="Times New Roman" w:hAnsi="Times New Roman" w:cs="Times New Roman"/>
      <w:sz w:val="24"/>
    </w:rPr>
  </w:style>
  <w:style w:type="paragraph" w:styleId="ListParagraph">
    <w:name w:val="List Paragraph"/>
    <w:basedOn w:val="Normal"/>
    <w:uiPriority w:val="34"/>
    <w:qFormat/>
    <w:rsid w:val="00087388"/>
    <w:pPr>
      <w:ind w:left="720"/>
    </w:pPr>
    <w:rPr>
      <w:rFonts w:ascii="Calibri" w:eastAsia="Calibri" w:hAnsi="Calibri" w:cs="Times New Roman"/>
      <w:szCs w:val="22"/>
    </w:rPr>
  </w:style>
  <w:style w:type="character" w:customStyle="1" w:styleId="InstructionsTabelleText">
    <w:name w:val="Instructions Tabelle Text"/>
    <w:rsid w:val="00087388"/>
    <w:rPr>
      <w:rFonts w:ascii="Verdana" w:hAnsi="Verdana" w:cs="Times New Roman"/>
      <w:sz w:val="20"/>
    </w:rPr>
  </w:style>
  <w:style w:type="table" w:styleId="TableProfessional">
    <w:name w:val="Table Professional"/>
    <w:basedOn w:val="TableNormal"/>
    <w:uiPriority w:val="99"/>
    <w:semiHidden/>
    <w:unhideWhenUsed/>
    <w:rsid w:val="00087388"/>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eader">
    <w:name w:val="header"/>
    <w:basedOn w:val="Normal"/>
    <w:link w:val="HeaderChar"/>
    <w:uiPriority w:val="99"/>
    <w:unhideWhenUsed/>
    <w:rsid w:val="00087388"/>
    <w:pPr>
      <w:tabs>
        <w:tab w:val="center" w:pos="4513"/>
        <w:tab w:val="right" w:pos="9026"/>
      </w:tabs>
    </w:pPr>
  </w:style>
  <w:style w:type="character" w:customStyle="1" w:styleId="HeaderChar">
    <w:name w:val="Header Char"/>
    <w:basedOn w:val="DefaultParagraphFont"/>
    <w:link w:val="Header"/>
    <w:uiPriority w:val="99"/>
    <w:rsid w:val="00087388"/>
    <w:rPr>
      <w:rFonts w:eastAsiaTheme="minorEastAsia"/>
      <w:szCs w:val="24"/>
    </w:rPr>
  </w:style>
  <w:style w:type="paragraph" w:styleId="Footer">
    <w:name w:val="footer"/>
    <w:basedOn w:val="Normal"/>
    <w:link w:val="FooterChar"/>
    <w:uiPriority w:val="99"/>
    <w:unhideWhenUsed/>
    <w:rsid w:val="00087388"/>
    <w:pPr>
      <w:tabs>
        <w:tab w:val="center" w:pos="4513"/>
        <w:tab w:val="right" w:pos="9026"/>
      </w:tabs>
    </w:pPr>
  </w:style>
  <w:style w:type="character" w:customStyle="1" w:styleId="FooterChar">
    <w:name w:val="Footer Char"/>
    <w:basedOn w:val="DefaultParagraphFont"/>
    <w:link w:val="Footer"/>
    <w:uiPriority w:val="99"/>
    <w:rsid w:val="00087388"/>
    <w:rPr>
      <w:rFonts w:eastAsiaTheme="minorEastAsia"/>
      <w:szCs w:val="24"/>
    </w:rPr>
  </w:style>
  <w:style w:type="paragraph" w:styleId="BalloonText">
    <w:name w:val="Balloon Text"/>
    <w:basedOn w:val="Normal"/>
    <w:link w:val="BalloonTextChar"/>
    <w:uiPriority w:val="99"/>
    <w:semiHidden/>
    <w:unhideWhenUsed/>
    <w:rsid w:val="00CF049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F0490"/>
    <w:rPr>
      <w:rFonts w:ascii="Segoe UI" w:eastAsiaTheme="minorEastAsia" w:hAnsi="Segoe UI" w:cs="Segoe UI"/>
      <w:sz w:val="18"/>
      <w:szCs w:val="18"/>
    </w:rPr>
  </w:style>
  <w:style w:type="paragraph" w:styleId="Revision">
    <w:name w:val="Revision"/>
    <w:hidden/>
    <w:uiPriority w:val="99"/>
    <w:semiHidden/>
    <w:rsid w:val="00B04B66"/>
    <w:pPr>
      <w:spacing w:after="0" w:line="240" w:lineRule="auto"/>
    </w:pPr>
    <w:rPr>
      <w:rFonts w:eastAsiaTheme="minorEastAsia"/>
      <w:szCs w:val="24"/>
    </w:rPr>
  </w:style>
  <w:style w:type="character" w:styleId="CommentReference">
    <w:name w:val="annotation reference"/>
    <w:basedOn w:val="DefaultParagraphFont"/>
    <w:uiPriority w:val="99"/>
    <w:semiHidden/>
    <w:unhideWhenUsed/>
    <w:rsid w:val="00FA32EC"/>
    <w:rPr>
      <w:sz w:val="16"/>
      <w:szCs w:val="16"/>
    </w:rPr>
  </w:style>
  <w:style w:type="paragraph" w:styleId="CommentText">
    <w:name w:val="annotation text"/>
    <w:basedOn w:val="Normal"/>
    <w:link w:val="CommentTextChar"/>
    <w:uiPriority w:val="99"/>
    <w:unhideWhenUsed/>
    <w:rsid w:val="00FA32EC"/>
    <w:rPr>
      <w:sz w:val="20"/>
      <w:szCs w:val="20"/>
    </w:rPr>
  </w:style>
  <w:style w:type="character" w:customStyle="1" w:styleId="CommentTextChar">
    <w:name w:val="Comment Text Char"/>
    <w:basedOn w:val="DefaultParagraphFont"/>
    <w:link w:val="CommentText"/>
    <w:uiPriority w:val="99"/>
    <w:rsid w:val="00FA32EC"/>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FA32EC"/>
    <w:rPr>
      <w:b/>
      <w:bCs/>
    </w:rPr>
  </w:style>
  <w:style w:type="character" w:customStyle="1" w:styleId="CommentSubjectChar">
    <w:name w:val="Comment Subject Char"/>
    <w:basedOn w:val="CommentTextChar"/>
    <w:link w:val="CommentSubject"/>
    <w:uiPriority w:val="99"/>
    <w:semiHidden/>
    <w:rsid w:val="00FA32EC"/>
    <w:rPr>
      <w:rFonts w:eastAsiaTheme="minorEastAsi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9719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footnotes.xml.rels>&#65279;<?xml version="1.0" encoding="UTF-8" standalone="yes"?>
<Relationships xmlns="http://schemas.openxmlformats.org/package/2006/relationships"><Relationship Id="rId2" Type="http://schemas.openxmlformats.org/officeDocument/2006/relationships/hyperlink" Target="https://eur-lex.europa.eu/legal-content/LV/TXT/?uri=OJ:L_202401623" TargetMode="External"/><Relationship Id="rId1" Type="http://schemas.openxmlformats.org/officeDocument/2006/relationships/hyperlink" Target="https://eur-lex.europa.eu/legal-content/LV/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3278388-81FA-48F2-BB85-0DA3D782B8F2}"/>
</file>

<file path=customXml/itemProps2.xml><?xml version="1.0" encoding="utf-8"?>
<ds:datastoreItem xmlns:ds="http://schemas.openxmlformats.org/officeDocument/2006/customXml" ds:itemID="{F368729B-EE05-45EF-AB5A-58F599AB5952}"/>
</file>

<file path=customXml/itemProps3.xml><?xml version="1.0" encoding="utf-8"?>
<ds:datastoreItem xmlns:ds="http://schemas.openxmlformats.org/officeDocument/2006/customXml" ds:itemID="{128D0437-A082-48B3-95BB-CC4F814BBA16}"/>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18</Pages>
  <Words>6874</Words>
  <Characters>36709</Characters>
  <Application>Microsoft Office Word</Application>
  <DocSecurity>0</DocSecurity>
  <Lines>874</Lines>
  <Paragraphs>403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2024-06-06T15:28:00Z</dcterms:created>
  <dcterms:modified xsi:type="dcterms:W3CDTF">2024-09-26T14:28:00Z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2024-09-26T14:28:30Z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2c9b9833-01c6-4425-8ef5-d73c6efc2636</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